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A363F0">
                          <w:rPr>
                            <w:noProof/>
                          </w:rPr>
                          <w:fldChar w:fldCharType="begin"/>
                        </w:r>
                        <w:r w:rsidR="00A363F0">
                          <w:rPr>
                            <w:noProof/>
                          </w:rPr>
                          <w:instrText xml:space="preserve"> INCLUDEPICTURE  "/var/folders/zq/_hgbfm5j5m929nsq7yq0snt00000gn/T/com.microsoft.Word/WebArchiveCopyPasteTempFiles/001d399a-96a4-4e1f-b905-a21d530b5d29.jpg" \* MERGEFORMATINET </w:instrText>
                        </w:r>
                        <w:r w:rsidR="00A363F0">
                          <w:rPr>
                            <w:noProof/>
                          </w:rPr>
                          <w:fldChar w:fldCharType="separate"/>
                        </w:r>
                        <w:r w:rsidR="006D323D">
                          <w:rPr>
                            <w:noProof/>
                          </w:rPr>
                          <w:fldChar w:fldCharType="begin"/>
                        </w:r>
                        <w:r w:rsidR="006D323D">
                          <w:rPr>
                            <w:noProof/>
                          </w:rPr>
                          <w:instrText xml:space="preserve"> INCLUDEPICTURE  "/var/folders/zq/_hgbfm5j5m929nsq7yq0snt00000gn/T/com.microsoft.Word/WebArchiveCopyPasteTempFiles/001d399a-96a4-4e1f-b905-a21d530b5d29.jpg" \* MERGEFORMATINET </w:instrText>
                        </w:r>
                        <w:r w:rsidR="006D323D">
                          <w:rPr>
                            <w:noProof/>
                          </w:rPr>
                          <w:fldChar w:fldCharType="separate"/>
                        </w:r>
                        <w:r w:rsidR="00B815E2">
                          <w:rPr>
                            <w:noProof/>
                          </w:rPr>
                          <w:fldChar w:fldCharType="begin"/>
                        </w:r>
                        <w:r w:rsidR="00B815E2">
                          <w:rPr>
                            <w:noProof/>
                          </w:rPr>
                          <w:instrText xml:space="preserve"> </w:instrText>
                        </w:r>
                        <w:r w:rsidR="00B815E2">
                          <w:rPr>
                            <w:noProof/>
                          </w:rPr>
                          <w:instrText>INCLUDEPICTURE  "/var/folders/zq/_hgbfm5j5m929nsq7yq0snt00000gn/T/com.microsoft.Word/WebArchiveCopyPasteTempFiles/001d399a-96a4-4e1f-b905-a21d530b5d29.jpg" \* MERGEFORMATINET</w:instrText>
                        </w:r>
                        <w:r w:rsidR="00B815E2">
                          <w:rPr>
                            <w:noProof/>
                          </w:rPr>
                          <w:instrText xml:space="preserve"> </w:instrText>
                        </w:r>
                        <w:r w:rsidR="00B815E2">
                          <w:rPr>
                            <w:noProof/>
                          </w:rPr>
                          <w:fldChar w:fldCharType="separate"/>
                        </w:r>
                        <w:r w:rsidR="00B815E2">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98pt;height:70pt;mso-width-percent:0;mso-height-percent:0;mso-width-percent:0;mso-height-percent:0">
                              <v:imagedata r:id="rId5" r:href="rId6"/>
                            </v:shape>
                          </w:pict>
                        </w:r>
                        <w:r w:rsidR="00B815E2">
                          <w:rPr>
                            <w:noProof/>
                          </w:rPr>
                          <w:fldChar w:fldCharType="end"/>
                        </w:r>
                        <w:r w:rsidR="006D323D">
                          <w:rPr>
                            <w:noProof/>
                          </w:rPr>
                          <w:fldChar w:fldCharType="end"/>
                        </w:r>
                        <w:r w:rsidR="00A363F0">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5D1410C4" w:rsidR="002F42A7" w:rsidRPr="00DE6A3B" w:rsidRDefault="00B57660"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Fri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9</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D22594">
                          <w:rPr>
                            <w:rFonts w:ascii="Tahoma" w:hAnsi="Tahoma" w:cs="Tahoma"/>
                            <w:color w:val="93378A"/>
                            <w:sz w:val="30"/>
                            <w:szCs w:val="30"/>
                          </w:rPr>
                          <w:t>Ju</w:t>
                        </w:r>
                        <w:r w:rsidR="00AC2DB8">
                          <w:rPr>
                            <w:rFonts w:ascii="Tahoma" w:hAnsi="Tahoma" w:cs="Tahoma"/>
                            <w:color w:val="93378A"/>
                            <w:sz w:val="30"/>
                            <w:szCs w:val="30"/>
                          </w:rPr>
                          <w:t>ly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A363F0">
                    <w:rPr>
                      <w:rFonts w:ascii="Helvetica" w:hAnsi="Helvetica"/>
                      <w:noProof/>
                      <w:color w:val="000000"/>
                      <w:sz w:val="18"/>
                      <w:szCs w:val="18"/>
                    </w:rPr>
                    <w:fldChar w:fldCharType="begin"/>
                  </w:r>
                  <w:r w:rsidR="00A363F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363F0">
                    <w:rPr>
                      <w:rFonts w:ascii="Helvetica" w:hAnsi="Helvetica"/>
                      <w:noProof/>
                      <w:color w:val="000000"/>
                      <w:sz w:val="18"/>
                      <w:szCs w:val="18"/>
                    </w:rPr>
                    <w:fldChar w:fldCharType="separate"/>
                  </w:r>
                  <w:r w:rsidR="006D323D">
                    <w:rPr>
                      <w:rFonts w:ascii="Helvetica" w:hAnsi="Helvetica"/>
                      <w:noProof/>
                      <w:color w:val="000000"/>
                      <w:sz w:val="18"/>
                      <w:szCs w:val="18"/>
                    </w:rPr>
                    <w:fldChar w:fldCharType="begin"/>
                  </w:r>
                  <w:r w:rsidR="006D32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323D">
                    <w:rPr>
                      <w:rFonts w:ascii="Helvetica" w:hAnsi="Helvetica"/>
                      <w:noProof/>
                      <w:color w:val="000000"/>
                      <w:sz w:val="18"/>
                      <w:szCs w:val="18"/>
                    </w:rPr>
                    <w:fldChar w:fldCharType="separate"/>
                  </w:r>
                  <w:r w:rsidR="00B815E2">
                    <w:rPr>
                      <w:rFonts w:ascii="Helvetica" w:hAnsi="Helvetica"/>
                      <w:noProof/>
                      <w:color w:val="000000"/>
                      <w:sz w:val="18"/>
                      <w:szCs w:val="18"/>
                    </w:rPr>
                    <w:fldChar w:fldCharType="begin"/>
                  </w:r>
                  <w:r w:rsidR="00B815E2">
                    <w:rPr>
                      <w:rFonts w:ascii="Helvetica" w:hAnsi="Helvetica"/>
                      <w:noProof/>
                      <w:color w:val="000000"/>
                      <w:sz w:val="18"/>
                      <w:szCs w:val="18"/>
                    </w:rPr>
                    <w:instrText xml:space="preserve"> </w:instrText>
                  </w:r>
                  <w:r w:rsidR="00B815E2">
                    <w:rPr>
                      <w:rFonts w:ascii="Helvetica" w:hAnsi="Helvetica"/>
                      <w:noProof/>
                      <w:color w:val="000000"/>
                      <w:sz w:val="18"/>
                      <w:szCs w:val="18"/>
                    </w:rPr>
                    <w:instrText>INCLUDEPICTURE  "/var/folders/zq/_hgbfm5j5m929nsq7yq0snt00000gn/T/com.microsoft.Word/WebArchiveCopyPasteTempFiles/Newsletter-style-bar.png" \* MERGEFORMATINET</w:instrText>
                  </w:r>
                  <w:r w:rsidR="00B815E2">
                    <w:rPr>
                      <w:rFonts w:ascii="Helvetica" w:hAnsi="Helvetica"/>
                      <w:noProof/>
                      <w:color w:val="000000"/>
                      <w:sz w:val="18"/>
                      <w:szCs w:val="18"/>
                    </w:rPr>
                    <w:instrText xml:space="preserve"> </w:instrText>
                  </w:r>
                  <w:r w:rsidR="00B815E2">
                    <w:rPr>
                      <w:rFonts w:ascii="Helvetica" w:hAnsi="Helvetica"/>
                      <w:noProof/>
                      <w:color w:val="000000"/>
                      <w:sz w:val="18"/>
                      <w:szCs w:val="18"/>
                    </w:rPr>
                    <w:fldChar w:fldCharType="separate"/>
                  </w:r>
                  <w:r w:rsidR="00B815E2">
                    <w:rPr>
                      <w:rFonts w:ascii="Helvetica" w:hAnsi="Helvetica"/>
                      <w:noProof/>
                      <w:color w:val="000000"/>
                      <w:sz w:val="18"/>
                      <w:szCs w:val="18"/>
                    </w:rPr>
                    <w:pict w14:anchorId="678A794D">
                      <v:shape id="_x0000_i1029" type="#_x0000_t75" alt="" style="width:600pt;height:22pt;mso-width-percent:0;mso-height-percent:0;mso-width-percent:0;mso-height-percent:0">
                        <v:imagedata r:id="rId7" r:href="rId8"/>
                      </v:shape>
                    </w:pict>
                  </w:r>
                  <w:r w:rsidR="00B815E2">
                    <w:rPr>
                      <w:rFonts w:ascii="Helvetica" w:hAnsi="Helvetica"/>
                      <w:noProof/>
                      <w:color w:val="000000"/>
                      <w:sz w:val="18"/>
                      <w:szCs w:val="18"/>
                    </w:rPr>
                    <w:fldChar w:fldCharType="end"/>
                  </w:r>
                  <w:r w:rsidR="006D323D">
                    <w:rPr>
                      <w:rFonts w:ascii="Helvetica" w:hAnsi="Helvetica"/>
                      <w:noProof/>
                      <w:color w:val="000000"/>
                      <w:sz w:val="18"/>
                      <w:szCs w:val="18"/>
                    </w:rPr>
                    <w:fldChar w:fldCharType="end"/>
                  </w:r>
                  <w:r w:rsidR="00A363F0">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B815E2" w:rsidP="002907F7">
                        <w:pPr>
                          <w:rPr>
                            <w:rFonts w:ascii="Times New Roman" w:hAnsi="Times New Roman" w:cs="Times New Roman"/>
                          </w:rPr>
                        </w:pPr>
                        <w:r>
                          <w:rPr>
                            <w:noProof/>
                          </w:rPr>
                          <w:pict w14:anchorId="2BE0C096">
                            <v:rect id="_x0000_i1028" alt="" style="width:290.15pt;height:.05pt;mso-width-percent:0;mso-height-percent:0;mso-width-percent:0;mso-height-percent:0" o:hrpct="620" o:hrstd="t" o:hrnoshade="t" o:hr="t" fillcolor="#303030" stroked="f"/>
                          </w:pict>
                        </w:r>
                      </w:p>
                      <w:p w14:paraId="43B0D4DC" w14:textId="77777777" w:rsidR="00674355" w:rsidRDefault="00674355" w:rsidP="00A25CFF">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5943B9C9" w14:textId="77777777" w:rsidR="00B57660" w:rsidRDefault="00B57660" w:rsidP="00B57660">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More guidance on C-19 cost claims; Rural Regulations workshop; PSNC website user survey.</w:t>
                              </w:r>
                            </w:p>
                            <w:p w14:paraId="163B4CA8" w14:textId="77777777" w:rsidR="00B57660" w:rsidRDefault="00B815E2" w:rsidP="00B57660">
                              <w:pPr>
                                <w:rPr>
                                  <w:rFonts w:ascii="Times New Roman" w:hAnsi="Times New Roman" w:cs="Times New Roman"/>
                                </w:rPr>
                              </w:pPr>
                              <w:r>
                                <w:rPr>
                                  <w:noProof/>
                                </w:rPr>
                                <w:pict w14:anchorId="16F5DE75">
                                  <v:rect id="_x0000_i1027" alt="" style="width:451.15pt;height:.05pt;mso-width-percent:0;mso-height-percent:0;mso-width-percent:0;mso-height-percent:0" o:hrpct="964" o:hralign="left" o:hrstd="t" o:hrnoshade="t" o:hr="t" fillcolor="#303030" stroked="f"/>
                                </w:pict>
                              </w:r>
                            </w:p>
                            <w:p w14:paraId="7BF88D70" w14:textId="77777777" w:rsidR="00B57660" w:rsidRPr="00B57660" w:rsidRDefault="00B57660" w:rsidP="00B57660">
                              <w:pPr>
                                <w:pStyle w:val="Heading3"/>
                                <w:spacing w:before="0" w:after="75" w:line="297" w:lineRule="atLeast"/>
                                <w:rPr>
                                  <w:rFonts w:ascii="Tahoma" w:hAnsi="Tahoma" w:cs="Tahoma"/>
                                  <w:b/>
                                  <w:bCs/>
                                  <w:color w:val="4E3487"/>
                                  <w:sz w:val="28"/>
                                  <w:szCs w:val="28"/>
                                </w:rPr>
                              </w:pPr>
                              <w:r w:rsidRPr="00B57660">
                                <w:rPr>
                                  <w:rFonts w:ascii="Tahoma" w:hAnsi="Tahoma" w:cs="Tahoma"/>
                                  <w:b/>
                                  <w:bCs/>
                                  <w:color w:val="4E3487"/>
                                  <w:sz w:val="28"/>
                                  <w:szCs w:val="28"/>
                                </w:rPr>
                                <w:t>COVID-19 Costs: Further guidance issued</w:t>
                              </w:r>
                            </w:p>
                            <w:p w14:paraId="0956FBAD" w14:textId="77777777" w:rsidR="00B57660" w:rsidRDefault="00B57660" w:rsidP="00B57660">
                              <w:pPr>
                                <w:pStyle w:val="NormalWeb"/>
                                <w:jc w:val="both"/>
                                <w:rPr>
                                  <w:rFonts w:ascii="Tahoma" w:hAnsi="Tahoma" w:cs="Tahoma"/>
                                  <w:color w:val="303030"/>
                                  <w:sz w:val="21"/>
                                  <w:szCs w:val="21"/>
                                </w:rPr>
                              </w:pPr>
                              <w:r>
                                <w:rPr>
                                  <w:rFonts w:ascii="Tahoma" w:hAnsi="Tahoma" w:cs="Tahoma"/>
                                  <w:color w:val="303030"/>
                                  <w:sz w:val="21"/>
                                  <w:szCs w:val="21"/>
                                </w:rPr>
                                <w:t>PSNC has today published further guidance and FAQs on the COVID-19 cost claims process for community pharmacy contractors.</w:t>
                              </w:r>
                            </w:p>
                            <w:p w14:paraId="6901C43B" w14:textId="77777777" w:rsidR="00B57660" w:rsidRDefault="00B57660" w:rsidP="00B57660">
                              <w:pPr>
                                <w:pStyle w:val="NormalWeb"/>
                                <w:jc w:val="both"/>
                                <w:rPr>
                                  <w:rFonts w:ascii="Tahoma" w:hAnsi="Tahoma" w:cs="Tahoma"/>
                                  <w:color w:val="303030"/>
                                  <w:sz w:val="21"/>
                                  <w:szCs w:val="21"/>
                                </w:rPr>
                              </w:pPr>
                              <w:r>
                                <w:rPr>
                                  <w:rFonts w:ascii="Tahoma" w:hAnsi="Tahoma" w:cs="Tahoma"/>
                                  <w:color w:val="303030"/>
                                  <w:sz w:val="21"/>
                                  <w:szCs w:val="21"/>
                                </w:rPr>
                                <w:t>The new briefing is part of a series of guides that PSNC has issued to help contractors to claim for the extra costs they incurred due to the COVID-19 pandemic.</w:t>
                              </w:r>
                            </w:p>
                            <w:p w14:paraId="03D207F8" w14:textId="77777777" w:rsidR="00B57660" w:rsidRDefault="00B57660" w:rsidP="00B57660">
                              <w:pPr>
                                <w:pStyle w:val="NormalWeb"/>
                                <w:jc w:val="both"/>
                                <w:rPr>
                                  <w:rFonts w:ascii="Tahoma" w:hAnsi="Tahoma" w:cs="Tahoma"/>
                                  <w:color w:val="303030"/>
                                  <w:sz w:val="21"/>
                                  <w:szCs w:val="21"/>
                                </w:rPr>
                              </w:pPr>
                              <w:r>
                                <w:rPr>
                                  <w:rFonts w:ascii="Tahoma" w:hAnsi="Tahoma" w:cs="Tahoma"/>
                                  <w:color w:val="303030"/>
                                  <w:sz w:val="21"/>
                                  <w:szCs w:val="21"/>
                                </w:rPr>
                                <w:t>Contractors have until 15th August 2021 to claim for the pandemic-related costs using an agreed claim form provided by the NHS Business Services Authority (NHSBSA). PSNC is working to get as much information about the claims process out to as many contractors as possible. The latest guidance covers:</w:t>
                              </w:r>
                            </w:p>
                            <w:p w14:paraId="2B88643A" w14:textId="77777777" w:rsidR="00B57660" w:rsidRDefault="00B57660" w:rsidP="00B57660">
                              <w:pPr>
                                <w:numPr>
                                  <w:ilvl w:val="0"/>
                                  <w:numId w:val="31"/>
                                </w:numPr>
                                <w:spacing w:before="100" w:beforeAutospacing="1" w:after="100" w:afterAutospacing="1"/>
                                <w:jc w:val="both"/>
                                <w:rPr>
                                  <w:rFonts w:ascii="Tahoma" w:hAnsi="Tahoma" w:cs="Tahoma"/>
                                  <w:color w:val="303030"/>
                                  <w:sz w:val="21"/>
                                  <w:szCs w:val="21"/>
                                </w:rPr>
                              </w:pPr>
                              <w:r>
                                <w:rPr>
                                  <w:rFonts w:ascii="Tahoma" w:hAnsi="Tahoma" w:cs="Tahoma"/>
                                  <w:color w:val="303030"/>
                                  <w:sz w:val="21"/>
                                  <w:szCs w:val="21"/>
                                </w:rPr>
                                <w:t>Further guidance on making a claim;</w:t>
                              </w:r>
                            </w:p>
                            <w:p w14:paraId="2A79C237" w14:textId="77777777" w:rsidR="00B57660" w:rsidRDefault="00B57660" w:rsidP="00B57660">
                              <w:pPr>
                                <w:numPr>
                                  <w:ilvl w:val="0"/>
                                  <w:numId w:val="31"/>
                                </w:numPr>
                                <w:spacing w:before="100" w:beforeAutospacing="1" w:after="100" w:afterAutospacing="1"/>
                                <w:jc w:val="both"/>
                                <w:rPr>
                                  <w:rFonts w:ascii="Tahoma" w:hAnsi="Tahoma" w:cs="Tahoma"/>
                                  <w:color w:val="303030"/>
                                  <w:sz w:val="21"/>
                                  <w:szCs w:val="21"/>
                                </w:rPr>
                              </w:pPr>
                              <w:r>
                                <w:rPr>
                                  <w:rFonts w:ascii="Tahoma" w:hAnsi="Tahoma" w:cs="Tahoma"/>
                                  <w:color w:val="303030"/>
                                  <w:sz w:val="21"/>
                                  <w:szCs w:val="21"/>
                                </w:rPr>
                                <w:t>Openings, change of ownership and permanent closures; and</w:t>
                              </w:r>
                            </w:p>
                            <w:p w14:paraId="1C1C73DA" w14:textId="77777777" w:rsidR="00B57660" w:rsidRDefault="00B57660" w:rsidP="00B57660">
                              <w:pPr>
                                <w:numPr>
                                  <w:ilvl w:val="0"/>
                                  <w:numId w:val="31"/>
                                </w:numPr>
                                <w:spacing w:before="100" w:beforeAutospacing="1" w:after="100" w:afterAutospacing="1"/>
                                <w:jc w:val="both"/>
                                <w:rPr>
                                  <w:rFonts w:ascii="Tahoma" w:hAnsi="Tahoma" w:cs="Tahoma"/>
                                  <w:color w:val="303030"/>
                                  <w:sz w:val="21"/>
                                  <w:szCs w:val="21"/>
                                </w:rPr>
                              </w:pPr>
                              <w:r>
                                <w:rPr>
                                  <w:rFonts w:ascii="Tahoma" w:hAnsi="Tahoma" w:cs="Tahoma"/>
                                  <w:color w:val="303030"/>
                                  <w:sz w:val="21"/>
                                  <w:szCs w:val="21"/>
                                </w:rPr>
                                <w:t>Claim-related FAQs.</w:t>
                              </w:r>
                            </w:p>
                            <w:p w14:paraId="0A952AB2" w14:textId="77777777" w:rsidR="00B57660" w:rsidRDefault="00B57660" w:rsidP="00B57660">
                              <w:pPr>
                                <w:pStyle w:val="NormalWeb"/>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Download the latest PSNC Briefing and see the other support available</w:t>
                                </w:r>
                              </w:hyperlink>
                            </w:p>
                            <w:p w14:paraId="1793A07F" w14:textId="77777777" w:rsidR="00B57660" w:rsidRDefault="00B815E2" w:rsidP="00B57660">
                              <w:pPr>
                                <w:rPr>
                                  <w:rFonts w:ascii="Times New Roman" w:hAnsi="Times New Roman" w:cs="Times New Roman"/>
                                </w:rPr>
                              </w:pPr>
                              <w:r>
                                <w:rPr>
                                  <w:noProof/>
                                </w:rPr>
                                <w:pict w14:anchorId="7163E7AC">
                                  <v:rect id="_x0000_i1026" alt="" style="width:451.15pt;height:.05pt;mso-width-percent:0;mso-height-percent:0;mso-width-percent:0;mso-height-percent:0" o:hrpct="964" o:hralign="left" o:hrstd="t" o:hrnoshade="t" o:hr="t" fillcolor="#303030" stroked="f"/>
                                </w:pict>
                              </w:r>
                            </w:p>
                            <w:p w14:paraId="1580D399" w14:textId="77777777" w:rsidR="00B57660" w:rsidRPr="00B57660" w:rsidRDefault="00B57660" w:rsidP="00B57660">
                              <w:pPr>
                                <w:pStyle w:val="Heading3"/>
                                <w:spacing w:before="0" w:after="75" w:line="297" w:lineRule="atLeast"/>
                                <w:rPr>
                                  <w:rFonts w:ascii="Tahoma" w:hAnsi="Tahoma" w:cs="Tahoma"/>
                                  <w:b/>
                                  <w:bCs/>
                                  <w:color w:val="4E3487"/>
                                  <w:sz w:val="28"/>
                                  <w:szCs w:val="28"/>
                                </w:rPr>
                              </w:pPr>
                              <w:r w:rsidRPr="00B57660">
                                <w:rPr>
                                  <w:rFonts w:ascii="Tahoma" w:hAnsi="Tahoma" w:cs="Tahoma"/>
                                  <w:b/>
                                  <w:bCs/>
                                  <w:color w:val="4E3487"/>
                                  <w:sz w:val="28"/>
                                  <w:szCs w:val="28"/>
                                </w:rPr>
                                <w:t>Book now for the PSNC Rural Regulations workshop</w:t>
                              </w:r>
                            </w:p>
                            <w:p w14:paraId="0A42558C" w14:textId="77777777" w:rsidR="00B57660" w:rsidRDefault="00B57660" w:rsidP="00B57660">
                              <w:pPr>
                                <w:pStyle w:val="NormalWeb"/>
                                <w:jc w:val="both"/>
                                <w:rPr>
                                  <w:rFonts w:ascii="Tahoma" w:hAnsi="Tahoma" w:cs="Tahoma"/>
                                  <w:color w:val="303030"/>
                                  <w:sz w:val="21"/>
                                  <w:szCs w:val="21"/>
                                </w:rPr>
                              </w:pPr>
                              <w:r>
                                <w:rPr>
                                  <w:rFonts w:ascii="Tahoma" w:hAnsi="Tahoma" w:cs="Tahoma"/>
                                  <w:color w:val="303030"/>
                                  <w:sz w:val="21"/>
                                  <w:szCs w:val="21"/>
                                </w:rPr>
                                <w:t>Do you need help with the parts of the NHS Pharmaceutical Regulations dealing with rural issues? If so, PSNC's Rural Regulations workshop aims to provide you with an introduction to the regulatory framework and burst some of the myths that exist.</w:t>
                              </w:r>
                            </w:p>
                            <w:p w14:paraId="2DD8A1D8" w14:textId="77777777" w:rsidR="00B57660" w:rsidRDefault="00B57660" w:rsidP="00B57660">
                              <w:pPr>
                                <w:pStyle w:val="NormalWeb"/>
                                <w:jc w:val="both"/>
                                <w:rPr>
                                  <w:rFonts w:ascii="Tahoma" w:hAnsi="Tahoma" w:cs="Tahoma"/>
                                  <w:color w:val="303030"/>
                                  <w:sz w:val="21"/>
                                  <w:szCs w:val="21"/>
                                </w:rPr>
                              </w:pPr>
                              <w:r>
                                <w:rPr>
                                  <w:rFonts w:ascii="Tahoma" w:hAnsi="Tahoma" w:cs="Tahoma"/>
                                  <w:color w:val="303030"/>
                                  <w:sz w:val="21"/>
                                  <w:szCs w:val="21"/>
                                </w:rPr>
                                <w:t>The workshop will be held on</w:t>
                              </w:r>
                              <w:r>
                                <w:rPr>
                                  <w:rStyle w:val="apple-converted-space"/>
                                  <w:rFonts w:ascii="Tahoma" w:hAnsi="Tahoma" w:cs="Tahoma"/>
                                  <w:color w:val="303030"/>
                                  <w:sz w:val="21"/>
                                  <w:szCs w:val="21"/>
                                </w:rPr>
                                <w:t> </w:t>
                              </w:r>
                              <w:r>
                                <w:rPr>
                                  <w:rStyle w:val="Strong"/>
                                  <w:rFonts w:ascii="Tahoma" w:eastAsiaTheme="majorEastAsia" w:hAnsi="Tahoma" w:cs="Tahoma"/>
                                  <w:color w:val="303030"/>
                                  <w:sz w:val="21"/>
                                  <w:szCs w:val="21"/>
                                </w:rPr>
                                <w:t>Monday 26th July at 2pm</w:t>
                              </w:r>
                              <w:r>
                                <w:rPr>
                                  <w:rStyle w:val="apple-converted-space"/>
                                  <w:rFonts w:ascii="Tahoma" w:hAnsi="Tahoma" w:cs="Tahoma"/>
                                  <w:color w:val="303030"/>
                                  <w:sz w:val="21"/>
                                  <w:szCs w:val="21"/>
                                </w:rPr>
                                <w:t> </w:t>
                              </w:r>
                              <w:r>
                                <w:rPr>
                                  <w:rFonts w:ascii="Tahoma" w:hAnsi="Tahoma" w:cs="Tahoma"/>
                                  <w:color w:val="303030"/>
                                  <w:sz w:val="21"/>
                                  <w:szCs w:val="21"/>
                                </w:rPr>
                                <w:t>and will cover controlled localities, reserved locations, historic rights, outline consent and more.</w:t>
                              </w:r>
                            </w:p>
                            <w:p w14:paraId="6AC5A7F8" w14:textId="77777777" w:rsidR="00B57660" w:rsidRDefault="00B57660" w:rsidP="00B57660">
                              <w:pPr>
                                <w:pStyle w:val="NormalWeb"/>
                                <w:jc w:val="both"/>
                                <w:rPr>
                                  <w:rFonts w:ascii="Tahoma" w:hAnsi="Tahoma" w:cs="Tahoma"/>
                                  <w:color w:val="303030"/>
                                  <w:sz w:val="21"/>
                                  <w:szCs w:val="21"/>
                                </w:rPr>
                              </w:pPr>
                              <w:hyperlink r:id="rId10" w:tgtFrame="_blank" w:history="1">
                                <w:r>
                                  <w:rPr>
                                    <w:rStyle w:val="Hyperlink"/>
                                    <w:rFonts w:ascii="Tahoma" w:hAnsi="Tahoma" w:cs="Tahoma"/>
                                    <w:b/>
                                    <w:bCs/>
                                    <w:color w:val="4E3487"/>
                                    <w:sz w:val="21"/>
                                    <w:szCs w:val="21"/>
                                  </w:rPr>
                                  <w:t>Learn more about the workshop and book your place</w:t>
                                </w:r>
                              </w:hyperlink>
                            </w:p>
                            <w:p w14:paraId="3BC9C064" w14:textId="77777777" w:rsidR="00B57660" w:rsidRDefault="00B815E2" w:rsidP="00B57660">
                              <w:pPr>
                                <w:rPr>
                                  <w:rFonts w:ascii="Times New Roman" w:hAnsi="Times New Roman" w:cs="Times New Roman"/>
                                </w:rPr>
                              </w:pPr>
                              <w:r>
                                <w:rPr>
                                  <w:noProof/>
                                </w:rPr>
                                <w:pict w14:anchorId="20BBA207">
                                  <v:rect id="_x0000_i1025" alt="" style="width:451.15pt;height:.05pt;mso-width-percent:0;mso-height-percent:0;mso-width-percent:0;mso-height-percent:0" o:hrpct="964" o:hralign="left" o:hrstd="t" o:hrnoshade="t" o:hr="t" fillcolor="#303030" stroked="f"/>
                                </w:pict>
                              </w:r>
                            </w:p>
                            <w:p w14:paraId="45E69A5D" w14:textId="77777777" w:rsidR="00B57660" w:rsidRPr="00B57660" w:rsidRDefault="00B57660" w:rsidP="00B57660">
                              <w:pPr>
                                <w:pStyle w:val="Heading3"/>
                                <w:spacing w:before="0" w:after="75" w:line="297" w:lineRule="atLeast"/>
                                <w:rPr>
                                  <w:rFonts w:ascii="Tahoma" w:hAnsi="Tahoma" w:cs="Tahoma"/>
                                  <w:b/>
                                  <w:bCs/>
                                  <w:color w:val="4E3487"/>
                                  <w:sz w:val="28"/>
                                  <w:szCs w:val="28"/>
                                </w:rPr>
                              </w:pPr>
                              <w:r w:rsidRPr="00B57660">
                                <w:rPr>
                                  <w:rFonts w:ascii="Tahoma" w:hAnsi="Tahoma" w:cs="Tahoma"/>
                                  <w:b/>
                                  <w:bCs/>
                                  <w:color w:val="4E3487"/>
                                  <w:sz w:val="28"/>
                                  <w:szCs w:val="28"/>
                                </w:rPr>
                                <w:lastRenderedPageBreak/>
                                <w:t>PSNC website user survey</w:t>
                              </w:r>
                            </w:p>
                            <w:p w14:paraId="3ABCBA0D" w14:textId="77777777" w:rsidR="00B57660" w:rsidRDefault="00B57660" w:rsidP="00B57660">
                              <w:pPr>
                                <w:pStyle w:val="NormalWeb"/>
                                <w:jc w:val="both"/>
                                <w:rPr>
                                  <w:rFonts w:ascii="Tahoma" w:hAnsi="Tahoma" w:cs="Tahoma"/>
                                  <w:color w:val="303030"/>
                                  <w:sz w:val="21"/>
                                  <w:szCs w:val="21"/>
                                </w:rPr>
                              </w:pPr>
                              <w:r>
                                <w:rPr>
                                  <w:rFonts w:ascii="Tahoma" w:hAnsi="Tahoma" w:cs="Tahoma"/>
                                  <w:color w:val="303030"/>
                                  <w:sz w:val="21"/>
                                  <w:szCs w:val="21"/>
                                </w:rPr>
                                <w:t>Ahead of a significant upgrade, we would like to know what you think of the PSNC website. Please take five minutes to complete our short survey about how you use the website now, and what you would like from it in the future.</w:t>
                              </w:r>
                            </w:p>
                            <w:p w14:paraId="753A5D82" w14:textId="77777777" w:rsidR="00B57660" w:rsidRDefault="00B57660" w:rsidP="00B57660">
                              <w:pPr>
                                <w:pStyle w:val="NormalWeb"/>
                                <w:jc w:val="both"/>
                                <w:rPr>
                                  <w:rFonts w:ascii="Tahoma" w:hAnsi="Tahoma" w:cs="Tahoma"/>
                                  <w:color w:val="303030"/>
                                  <w:sz w:val="21"/>
                                  <w:szCs w:val="21"/>
                                </w:rPr>
                              </w:pPr>
                              <w:r>
                                <w:rPr>
                                  <w:rFonts w:ascii="Tahoma" w:hAnsi="Tahoma" w:cs="Tahoma"/>
                                  <w:color w:val="303030"/>
                                  <w:sz w:val="21"/>
                                  <w:szCs w:val="21"/>
                                </w:rPr>
                                <w:t>You can complete the survey directly</w:t>
                              </w:r>
                              <w:r>
                                <w:rPr>
                                  <w:rStyle w:val="apple-converted-space"/>
                                  <w:rFonts w:ascii="Tahoma" w:hAnsi="Tahoma" w:cs="Tahoma"/>
                                  <w:color w:val="303030"/>
                                  <w:sz w:val="21"/>
                                  <w:szCs w:val="21"/>
                                </w:rPr>
                                <w:t> </w:t>
                              </w:r>
                              <w:hyperlink r:id="rId11" w:tgtFrame="_blank" w:history="1">
                                <w:r>
                                  <w:rPr>
                                    <w:rStyle w:val="Hyperlink"/>
                                    <w:rFonts w:ascii="Tahoma" w:hAnsi="Tahoma" w:cs="Tahoma"/>
                                    <w:b/>
                                    <w:bCs/>
                                    <w:color w:val="4E3487"/>
                                    <w:sz w:val="21"/>
                                    <w:szCs w:val="21"/>
                                  </w:rPr>
                                  <w:t>here</w:t>
                                </w:r>
                              </w:hyperlink>
                              <w:r>
                                <w:rPr>
                                  <w:rStyle w:val="apple-converted-space"/>
                                  <w:rFonts w:ascii="Tahoma" w:hAnsi="Tahoma" w:cs="Tahoma"/>
                                  <w:color w:val="303030"/>
                                  <w:sz w:val="21"/>
                                  <w:szCs w:val="21"/>
                                </w:rPr>
                                <w:t> </w:t>
                              </w:r>
                              <w:r>
                                <w:rPr>
                                  <w:rFonts w:ascii="Tahoma" w:hAnsi="Tahoma" w:cs="Tahoma"/>
                                  <w:color w:val="303030"/>
                                  <w:sz w:val="21"/>
                                  <w:szCs w:val="21"/>
                                </w:rPr>
                                <w:t>or via a pop-up that will appear when you next visit the PSNC website. We would really appreciate your views.</w:t>
                              </w:r>
                            </w:p>
                            <w:p w14:paraId="2D7EDC42" w14:textId="1D490FF5" w:rsidR="00071CFB" w:rsidRPr="00BC05E0" w:rsidRDefault="00071CFB" w:rsidP="00BC05E0">
                              <w:pPr>
                                <w:rPr>
                                  <w:rFonts w:ascii="Times New Roman" w:hAnsi="Times New Roman" w:cs="Times New Roman"/>
                                </w:rPr>
                              </w:pPr>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2"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1"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B815E2"/>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2289D"/>
    <w:multiLevelType w:val="multilevel"/>
    <w:tmpl w:val="AB7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737B5"/>
    <w:multiLevelType w:val="multilevel"/>
    <w:tmpl w:val="9848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7"/>
  </w:num>
  <w:num w:numId="4">
    <w:abstractNumId w:val="15"/>
  </w:num>
  <w:num w:numId="5">
    <w:abstractNumId w:val="3"/>
  </w:num>
  <w:num w:numId="6">
    <w:abstractNumId w:val="13"/>
  </w:num>
  <w:num w:numId="7">
    <w:abstractNumId w:val="12"/>
  </w:num>
  <w:num w:numId="8">
    <w:abstractNumId w:val="7"/>
  </w:num>
  <w:num w:numId="9">
    <w:abstractNumId w:val="14"/>
  </w:num>
  <w:num w:numId="10">
    <w:abstractNumId w:val="19"/>
  </w:num>
  <w:num w:numId="11">
    <w:abstractNumId w:val="8"/>
  </w:num>
  <w:num w:numId="12">
    <w:abstractNumId w:val="25"/>
  </w:num>
  <w:num w:numId="13">
    <w:abstractNumId w:val="4"/>
  </w:num>
  <w:num w:numId="14">
    <w:abstractNumId w:val="26"/>
  </w:num>
  <w:num w:numId="15">
    <w:abstractNumId w:val="29"/>
  </w:num>
  <w:num w:numId="16">
    <w:abstractNumId w:val="22"/>
  </w:num>
  <w:num w:numId="17">
    <w:abstractNumId w:val="23"/>
  </w:num>
  <w:num w:numId="18">
    <w:abstractNumId w:val="1"/>
  </w:num>
  <w:num w:numId="19">
    <w:abstractNumId w:val="9"/>
  </w:num>
  <w:num w:numId="20">
    <w:abstractNumId w:val="30"/>
  </w:num>
  <w:num w:numId="21">
    <w:abstractNumId w:val="18"/>
  </w:num>
  <w:num w:numId="22">
    <w:abstractNumId w:val="2"/>
  </w:num>
  <w:num w:numId="23">
    <w:abstractNumId w:val="16"/>
  </w:num>
  <w:num w:numId="24">
    <w:abstractNumId w:val="17"/>
  </w:num>
  <w:num w:numId="25">
    <w:abstractNumId w:val="20"/>
  </w:num>
  <w:num w:numId="26">
    <w:abstractNumId w:val="24"/>
  </w:num>
  <w:num w:numId="27">
    <w:abstractNumId w:val="6"/>
  </w:num>
  <w:num w:numId="28">
    <w:abstractNumId w:val="28"/>
  </w:num>
  <w:num w:numId="29">
    <w:abstractNumId w:val="10"/>
  </w:num>
  <w:num w:numId="30">
    <w:abstractNumId w:val="11"/>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3B22"/>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323D"/>
    <w:rsid w:val="006D417B"/>
    <w:rsid w:val="006E4214"/>
    <w:rsid w:val="006F1130"/>
    <w:rsid w:val="0070181A"/>
    <w:rsid w:val="007208EE"/>
    <w:rsid w:val="00733DA6"/>
    <w:rsid w:val="007638C8"/>
    <w:rsid w:val="007A69E3"/>
    <w:rsid w:val="007B5953"/>
    <w:rsid w:val="007D1A7E"/>
    <w:rsid w:val="007D203B"/>
    <w:rsid w:val="007E0F34"/>
    <w:rsid w:val="007F18C1"/>
    <w:rsid w:val="00807E4C"/>
    <w:rsid w:val="00812322"/>
    <w:rsid w:val="00820B0C"/>
    <w:rsid w:val="00846B63"/>
    <w:rsid w:val="008512DA"/>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25CFF"/>
    <w:rsid w:val="00A363F0"/>
    <w:rsid w:val="00A47173"/>
    <w:rsid w:val="00A53001"/>
    <w:rsid w:val="00A61F99"/>
    <w:rsid w:val="00A663D7"/>
    <w:rsid w:val="00A734A1"/>
    <w:rsid w:val="00A84017"/>
    <w:rsid w:val="00A92151"/>
    <w:rsid w:val="00AA6837"/>
    <w:rsid w:val="00AC2DB8"/>
    <w:rsid w:val="00AD5306"/>
    <w:rsid w:val="00AD589B"/>
    <w:rsid w:val="00AF6629"/>
    <w:rsid w:val="00B02B33"/>
    <w:rsid w:val="00B33D71"/>
    <w:rsid w:val="00B41A84"/>
    <w:rsid w:val="00B41FD4"/>
    <w:rsid w:val="00B57660"/>
    <w:rsid w:val="00B6067E"/>
    <w:rsid w:val="00B815E2"/>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22594"/>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6585746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014574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51011817">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0719e3152f&amp;e=d3dc5e7fbd"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mailto:info@psnc.org.uk"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b671e78d7a&amp;e=d3dc5e7fbd" TargetMode="External"/><Relationship Id="rId17" Type="http://schemas.openxmlformats.org/officeDocument/2006/relationships/hyperlink" Target="https://psnc.us7.list-manage.com/track/click?u=86d41ab7fa4c7c2c5d7210782&amp;id=3f47eea43b&amp;e=d3dc5e7fbd"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98d8dc5eca&amp;e=12757307a1"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9f085df2d1&amp;e=d3dc5e7fbd" TargetMode="External"/><Relationship Id="rId23" Type="http://schemas.openxmlformats.org/officeDocument/2006/relationships/theme" Target="theme/theme1.xml"/><Relationship Id="rId10" Type="http://schemas.openxmlformats.org/officeDocument/2006/relationships/hyperlink" Target="https://psnc.us7.list-manage.com/track/click?u=86d41ab7fa4c7c2c5d7210782&amp;id=9a258062b4&amp;e=12757307a1" TargetMode="External"/><Relationship Id="rId19" Type="http://schemas.openxmlformats.org/officeDocument/2006/relationships/hyperlink" Target="https://psnc.us7.list-manage.com/track/click?u=86d41ab7fa4c7c2c5d7210782&amp;id=b774bcfe37&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7e818a16bf&amp;e=12757307a1"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3072</Words>
  <Characters>17515</Characters>
  <Application>Microsoft Office Word</Application>
  <DocSecurity>2</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2021-07-10T06:54:00Z</dcterms:created>
  <dcterms:modified xsi:type="dcterms:W3CDTF">2021-07-10T06:54:00Z</dcterms:modified>
</cp:coreProperties>
</file>