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95130" w14:paraId="06B56A8F" w14:textId="77777777" w:rsidTr="00395130">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95130" w14:paraId="0675589C"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395130" w14:paraId="35F86F1A" w14:textId="77777777">
                    <w:trPr>
                      <w:tblCellSpacing w:w="0" w:type="dxa"/>
                      <w:jc w:val="center"/>
                    </w:trPr>
                    <w:tc>
                      <w:tcPr>
                        <w:tcW w:w="3000" w:type="dxa"/>
                        <w:hideMark/>
                      </w:tcPr>
                      <w:p w14:paraId="5554EC41" w14:textId="0FC9E329" w:rsidR="00395130" w:rsidRDefault="0024212E">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6CB0B18" w14:textId="77777777" w:rsidR="00395130" w:rsidRDefault="00395130">
                  <w:pPr>
                    <w:jc w:val="center"/>
                    <w:rPr>
                      <w:rFonts w:ascii="Times New Roman" w:eastAsia="Times New Roman" w:hAnsi="Times New Roman" w:cs="Times New Roman"/>
                      <w:sz w:val="20"/>
                      <w:szCs w:val="20"/>
                    </w:rPr>
                  </w:pPr>
                </w:p>
              </w:tc>
            </w:tr>
            <w:tr w:rsidR="00395130" w14:paraId="7200E35E"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395130" w14:paraId="39C8D7DF"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FFA8B90" w14:textId="57F801C5" w:rsidR="00395130" w:rsidRDefault="00395130">
                        <w:pPr>
                          <w:jc w:val="center"/>
                          <w:rPr>
                            <w:rFonts w:eastAsia="Times New Roman"/>
                          </w:rPr>
                        </w:pPr>
                        <w:r>
                          <w:rPr>
                            <w:rFonts w:eastAsia="Times New Roman"/>
                            <w:noProof/>
                          </w:rPr>
                          <w:drawing>
                            <wp:inline distT="0" distB="0" distL="0" distR="0" wp14:anchorId="7B81F20A" wp14:editId="1E41A8DE">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395130" w14:paraId="12DC5BC7" w14:textId="77777777">
                    <w:trPr>
                      <w:tblCellSpacing w:w="0" w:type="dxa"/>
                    </w:trPr>
                    <w:tc>
                      <w:tcPr>
                        <w:tcW w:w="0" w:type="auto"/>
                        <w:vMerge/>
                        <w:tcBorders>
                          <w:top w:val="nil"/>
                          <w:left w:val="nil"/>
                          <w:bottom w:val="single" w:sz="2" w:space="0" w:color="FFFFFF"/>
                          <w:right w:val="nil"/>
                        </w:tcBorders>
                        <w:vAlign w:val="center"/>
                        <w:hideMark/>
                      </w:tcPr>
                      <w:p w14:paraId="690E6791" w14:textId="77777777" w:rsidR="00395130" w:rsidRDefault="00395130">
                        <w:pPr>
                          <w:rPr>
                            <w:rFonts w:eastAsia="Times New Roman"/>
                          </w:rPr>
                        </w:pPr>
                      </w:p>
                    </w:tc>
                    <w:tc>
                      <w:tcPr>
                        <w:tcW w:w="3450" w:type="dxa"/>
                        <w:tcBorders>
                          <w:top w:val="nil"/>
                          <w:left w:val="nil"/>
                          <w:bottom w:val="nil"/>
                          <w:right w:val="nil"/>
                        </w:tcBorders>
                        <w:vAlign w:val="center"/>
                        <w:hideMark/>
                      </w:tcPr>
                      <w:p w14:paraId="68A8128B" w14:textId="77777777" w:rsidR="00395130" w:rsidRDefault="00395130">
                        <w:pPr>
                          <w:pStyle w:val="Heading1"/>
                          <w:rPr>
                            <w:rFonts w:eastAsia="Times New Roman"/>
                          </w:rPr>
                        </w:pPr>
                        <w:r>
                          <w:rPr>
                            <w:rFonts w:eastAsia="Times New Roman"/>
                          </w:rPr>
                          <w:t>Daily Update </w:t>
                        </w:r>
                      </w:p>
                    </w:tc>
                  </w:tr>
                  <w:tr w:rsidR="00395130" w14:paraId="4F5FB530" w14:textId="77777777">
                    <w:trPr>
                      <w:tblCellSpacing w:w="0" w:type="dxa"/>
                    </w:trPr>
                    <w:tc>
                      <w:tcPr>
                        <w:tcW w:w="0" w:type="auto"/>
                        <w:vMerge/>
                        <w:tcBorders>
                          <w:top w:val="nil"/>
                          <w:left w:val="nil"/>
                          <w:bottom w:val="single" w:sz="2" w:space="0" w:color="FFFFFF"/>
                          <w:right w:val="nil"/>
                        </w:tcBorders>
                        <w:vAlign w:val="center"/>
                        <w:hideMark/>
                      </w:tcPr>
                      <w:p w14:paraId="2AB9AFBF" w14:textId="77777777" w:rsidR="00395130" w:rsidRDefault="00395130">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097ECAF" w14:textId="77777777" w:rsidR="00395130" w:rsidRDefault="00395130">
                        <w:pPr>
                          <w:pStyle w:val="Heading2"/>
                          <w:rPr>
                            <w:rFonts w:eastAsia="Times New Roman"/>
                            <w:color w:val="93378A"/>
                          </w:rPr>
                        </w:pPr>
                        <w:r>
                          <w:rPr>
                            <w:rFonts w:eastAsia="Times New Roman"/>
                            <w:color w:val="93378A"/>
                          </w:rPr>
                          <w:t>Thursday 1st July 2021</w:t>
                        </w:r>
                      </w:p>
                    </w:tc>
                  </w:tr>
                </w:tbl>
                <w:p w14:paraId="25B6D472" w14:textId="77777777" w:rsidR="00395130" w:rsidRDefault="00395130">
                  <w:pPr>
                    <w:rPr>
                      <w:rFonts w:ascii="Times New Roman" w:eastAsia="Times New Roman" w:hAnsi="Times New Roman" w:cs="Times New Roman"/>
                      <w:sz w:val="20"/>
                      <w:szCs w:val="20"/>
                    </w:rPr>
                  </w:pPr>
                </w:p>
              </w:tc>
            </w:tr>
            <w:tr w:rsidR="00395130" w14:paraId="7C59D73C" w14:textId="77777777">
              <w:tblPrEx>
                <w:shd w:val="clear" w:color="auto" w:fill="auto"/>
              </w:tblPrEx>
              <w:trPr>
                <w:tblCellSpacing w:w="0" w:type="dxa"/>
                <w:jc w:val="center"/>
              </w:trPr>
              <w:tc>
                <w:tcPr>
                  <w:tcW w:w="9000" w:type="dxa"/>
                  <w:hideMark/>
                </w:tcPr>
                <w:p w14:paraId="271F71B4" w14:textId="285C635E" w:rsidR="00395130" w:rsidRDefault="00395130">
                  <w:pPr>
                    <w:rPr>
                      <w:rFonts w:eastAsia="Times New Roman"/>
                    </w:rPr>
                  </w:pPr>
                  <w:r>
                    <w:rPr>
                      <w:rFonts w:eastAsia="Times New Roman"/>
                      <w:noProof/>
                    </w:rPr>
                    <w:drawing>
                      <wp:inline distT="0" distB="0" distL="0" distR="0" wp14:anchorId="432F52AF" wp14:editId="6B7FFEBC">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395130" w14:paraId="2642F28D"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395130" w14:paraId="3CF3FB5E" w14:textId="77777777">
                    <w:trPr>
                      <w:trHeight w:val="150"/>
                      <w:tblCellSpacing w:w="15" w:type="dxa"/>
                      <w:jc w:val="center"/>
                    </w:trPr>
                    <w:tc>
                      <w:tcPr>
                        <w:tcW w:w="150" w:type="dxa"/>
                        <w:vAlign w:val="center"/>
                        <w:hideMark/>
                      </w:tcPr>
                      <w:p w14:paraId="1DA318A1" w14:textId="77777777" w:rsidR="00395130" w:rsidRDefault="00395130">
                        <w:pPr>
                          <w:rPr>
                            <w:rFonts w:eastAsia="Times New Roman"/>
                          </w:rPr>
                        </w:pPr>
                      </w:p>
                    </w:tc>
                    <w:tc>
                      <w:tcPr>
                        <w:tcW w:w="8700" w:type="dxa"/>
                        <w:vAlign w:val="center"/>
                        <w:hideMark/>
                      </w:tcPr>
                      <w:p w14:paraId="14F48779" w14:textId="77777777" w:rsidR="00395130" w:rsidRDefault="00395130">
                        <w:pPr>
                          <w:rPr>
                            <w:rFonts w:ascii="Times New Roman" w:eastAsia="Times New Roman" w:hAnsi="Times New Roman" w:cs="Times New Roman"/>
                            <w:sz w:val="20"/>
                            <w:szCs w:val="20"/>
                          </w:rPr>
                        </w:pPr>
                      </w:p>
                    </w:tc>
                    <w:tc>
                      <w:tcPr>
                        <w:tcW w:w="150" w:type="dxa"/>
                        <w:vAlign w:val="center"/>
                        <w:hideMark/>
                      </w:tcPr>
                      <w:p w14:paraId="03FDDC2A" w14:textId="77777777" w:rsidR="00395130" w:rsidRDefault="00395130">
                        <w:pPr>
                          <w:rPr>
                            <w:rFonts w:ascii="Times New Roman" w:eastAsia="Times New Roman" w:hAnsi="Times New Roman" w:cs="Times New Roman"/>
                            <w:sz w:val="20"/>
                            <w:szCs w:val="20"/>
                          </w:rPr>
                        </w:pPr>
                      </w:p>
                    </w:tc>
                  </w:tr>
                  <w:tr w:rsidR="00395130" w14:paraId="23067B8D" w14:textId="77777777">
                    <w:trPr>
                      <w:tblCellSpacing w:w="15" w:type="dxa"/>
                      <w:jc w:val="center"/>
                    </w:trPr>
                    <w:tc>
                      <w:tcPr>
                        <w:tcW w:w="150" w:type="dxa"/>
                        <w:vAlign w:val="center"/>
                        <w:hideMark/>
                      </w:tcPr>
                      <w:p w14:paraId="76FF2341" w14:textId="77777777" w:rsidR="00395130" w:rsidRDefault="00395130">
                        <w:pPr>
                          <w:rPr>
                            <w:rFonts w:ascii="Times New Roman" w:eastAsia="Times New Roman" w:hAnsi="Times New Roman" w:cs="Times New Roman"/>
                            <w:sz w:val="20"/>
                            <w:szCs w:val="20"/>
                          </w:rPr>
                        </w:pPr>
                      </w:p>
                    </w:tc>
                    <w:tc>
                      <w:tcPr>
                        <w:tcW w:w="8700" w:type="dxa"/>
                        <w:vAlign w:val="center"/>
                        <w:hideMark/>
                      </w:tcPr>
                      <w:p w14:paraId="34F87A36" w14:textId="77777777" w:rsidR="00395130" w:rsidRDefault="00395130">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3B753E5D" w14:textId="77777777" w:rsidR="00395130" w:rsidRDefault="00395130">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983D087">
                            <v:rect id="_x0000_i1032" style="width:468pt;height:1.5pt" o:hralign="center" o:hrstd="t" o:hr="t" fillcolor="#a0a0a0" stroked="f"/>
                          </w:pict>
                        </w:r>
                      </w:p>
                      <w:p w14:paraId="1BE639F9" w14:textId="77777777" w:rsidR="00395130" w:rsidRDefault="00395130">
                        <w:pPr>
                          <w:pStyle w:val="Heading2"/>
                          <w:rPr>
                            <w:rFonts w:eastAsia="Times New Roman"/>
                          </w:rPr>
                        </w:pPr>
                        <w:r>
                          <w:rPr>
                            <w:rFonts w:eastAsia="Times New Roman"/>
                          </w:rPr>
                          <w:t>In today's update: July Drug Tariff Watch; proposals to improve use of health data; pharmacy IT workstreams update; Hub and Spoke dispensing briefing.</w:t>
                        </w:r>
                      </w:p>
                      <w:p w14:paraId="6A4AC42B" w14:textId="77777777" w:rsidR="00395130" w:rsidRDefault="00395130">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0E3936D">
                            <v:rect id="_x0000_i1033" style="width:468pt;height:1.5pt" o:hralign="center" o:hrstd="t" o:hr="t" fillcolor="#a0a0a0" stroked="f"/>
                          </w:pict>
                        </w:r>
                      </w:p>
                      <w:p w14:paraId="5154A719" w14:textId="77777777" w:rsidR="00395130" w:rsidRDefault="00395130">
                        <w:pPr>
                          <w:pStyle w:val="Heading3"/>
                          <w:rPr>
                            <w:rFonts w:eastAsia="Times New Roman"/>
                          </w:rPr>
                        </w:pPr>
                        <w:r>
                          <w:rPr>
                            <w:rFonts w:eastAsia="Times New Roman"/>
                          </w:rPr>
                          <w:t>Drug Tariff Watch – July 2021</w:t>
                        </w:r>
                      </w:p>
                      <w:p w14:paraId="379B3F20" w14:textId="0380A419" w:rsidR="00395130" w:rsidRDefault="00395130" w:rsidP="0024212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Dispensing and Supply Team has created a summary of the Drug Tariff changes for July 2021. This includes details of additions, deletions and category and price changes.</w:t>
                        </w:r>
                        <w:r>
                          <w:rPr>
                            <w:rFonts w:ascii="Tahoma" w:eastAsia="Times New Roman" w:hAnsi="Tahoma" w:cs="Tahoma"/>
                            <w:color w:val="303030"/>
                            <w:sz w:val="21"/>
                            <w:szCs w:val="21"/>
                          </w:rPr>
                          <w:br/>
                        </w:r>
                        <w:r>
                          <w:rPr>
                            <w:rFonts w:ascii="Tahoma" w:eastAsia="Times New Roman" w:hAnsi="Tahoma" w:cs="Tahoma"/>
                            <w:color w:val="303030"/>
                            <w:sz w:val="21"/>
                            <w:szCs w:val="21"/>
                          </w:rPr>
                          <w:br/>
                          <w:t>It is important to monitor the monthly changes to Part VIII and Part IX of the Drug Tariff as these can impact on reimbursement. For example, if a drug moves from Category C to Category A, certain claims such as Broken Bulk or out of pocket expenses may no longer be permitted, and any wrong or missing endorsements can lead to incorrect or delayed payments. The </w:t>
                        </w:r>
                        <w:hyperlink r:id="rId8" w:tgtFrame="_blank" w:tooltip="https://psnc.org.uk/dispensing-supply/dispensing-a-prescription/appliances/drug-tariff-appliance-watch-notice-of-deletion/" w:history="1">
                          <w:r>
                            <w:rPr>
                              <w:rStyle w:val="Hyperlink"/>
                              <w:rFonts w:ascii="Tahoma" w:eastAsia="Times New Roman" w:hAnsi="Tahoma" w:cs="Tahoma"/>
                              <w:b/>
                              <w:bCs/>
                              <w:color w:val="4E3487"/>
                              <w:sz w:val="21"/>
                              <w:szCs w:val="21"/>
                            </w:rPr>
                            <w:t>notice of deletion of appliances</w:t>
                          </w:r>
                        </w:hyperlink>
                        <w:r>
                          <w:rPr>
                            <w:rFonts w:ascii="Tahoma" w:eastAsia="Times New Roman" w:hAnsi="Tahoma" w:cs="Tahoma"/>
                            <w:color w:val="303030"/>
                            <w:sz w:val="21"/>
                            <w:szCs w:val="21"/>
                          </w:rPr>
                          <w:t> from Part IX is also very important to note as prescriptions for any devices no longer listed in the Drug Tariff will be disallowed by the NHS Business Services Authority (NHSBSA).</w:t>
                        </w:r>
                        <w:r>
                          <w:rPr>
                            <w:rFonts w:ascii="Tahoma" w:eastAsia="Times New Roman" w:hAnsi="Tahoma" w:cs="Tahoma"/>
                            <w:color w:val="303030"/>
                            <w:sz w:val="21"/>
                            <w:szCs w:val="21"/>
                          </w:rPr>
                          <w:br/>
                        </w:r>
                        <w:r>
                          <w:rPr>
                            <w:rFonts w:ascii="Tahoma" w:eastAsia="Times New Roman" w:hAnsi="Tahoma" w:cs="Tahoma"/>
                            <w:color w:val="303030"/>
                            <w:sz w:val="21"/>
                            <w:szCs w:val="21"/>
                          </w:rPr>
                          <w:br/>
                          <w:t>PSNC's Drug Tariff Watch series used to appear in our Community Pharmacy News (CPN) magazine but will now be published straight on the PSNC website each month.</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See the July 2021 Drug Tariff Watch</w:t>
                          </w:r>
                        </w:hyperlink>
                        <w:r>
                          <w:rPr>
                            <w:rFonts w:ascii="Tahoma" w:eastAsia="Times New Roman" w:hAnsi="Tahoma" w:cs="Tahoma"/>
                            <w:color w:val="303030"/>
                            <w:sz w:val="21"/>
                            <w:szCs w:val="21"/>
                          </w:rPr>
                          <w:t xml:space="preserve"> </w:t>
                        </w:r>
                      </w:p>
                      <w:p w14:paraId="59D18EAF" w14:textId="77777777" w:rsidR="00395130" w:rsidRDefault="00395130">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59B81E8">
                            <v:rect id="_x0000_i1034" style="width:468pt;height:1.5pt" o:hralign="center" o:hrstd="t" o:hr="t" fillcolor="#a0a0a0" stroked="f"/>
                          </w:pict>
                        </w:r>
                      </w:p>
                      <w:p w14:paraId="575BA42B" w14:textId="77777777" w:rsidR="00395130" w:rsidRDefault="00395130">
                        <w:pPr>
                          <w:pStyle w:val="Heading3"/>
                          <w:rPr>
                            <w:rFonts w:eastAsia="Times New Roman"/>
                          </w:rPr>
                        </w:pPr>
                        <w:r>
                          <w:rPr>
                            <w:rFonts w:eastAsia="Times New Roman"/>
                          </w:rPr>
                          <w:t xml:space="preserve">DHSC policy proposals to reshape use of health </w:t>
                        </w:r>
                        <w:proofErr w:type="gramStart"/>
                        <w:r>
                          <w:rPr>
                            <w:rFonts w:eastAsia="Times New Roman"/>
                          </w:rPr>
                          <w:t>data</w:t>
                        </w:r>
                        <w:proofErr w:type="gramEnd"/>
                      </w:p>
                      <w:p w14:paraId="71B5E23B" w14:textId="295380CB" w:rsidR="00395130" w:rsidRDefault="00395130" w:rsidP="0024212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Last week the Department of Health and Social Care (DHSC) published a draft policy paper on the better use of health data. A few of the key proposals within this paper were that health and care staff (including pharmacy teams) should have quicker access to </w:t>
                        </w:r>
                        <w:hyperlink r:id="rId10" w:tgtFrame="_blank" w:history="1">
                          <w:r>
                            <w:rPr>
                              <w:rStyle w:val="Strong"/>
                              <w:rFonts w:ascii="Tahoma" w:eastAsia="Times New Roman" w:hAnsi="Tahoma" w:cs="Tahoma"/>
                              <w:color w:val="4E3487"/>
                              <w:sz w:val="21"/>
                              <w:szCs w:val="21"/>
                            </w:rPr>
                            <w:t>Shared Care Records (</w:t>
                          </w:r>
                          <w:proofErr w:type="spellStart"/>
                          <w:r>
                            <w:rPr>
                              <w:rStyle w:val="Strong"/>
                              <w:rFonts w:ascii="Tahoma" w:eastAsia="Times New Roman" w:hAnsi="Tahoma" w:cs="Tahoma"/>
                              <w:color w:val="4E3487"/>
                              <w:sz w:val="21"/>
                              <w:szCs w:val="21"/>
                            </w:rPr>
                            <w:t>ShCR</w:t>
                          </w:r>
                          <w:proofErr w:type="spellEnd"/>
                          <w:r>
                            <w:rPr>
                              <w:rStyle w:val="Strong"/>
                              <w:rFonts w:ascii="Tahoma" w:eastAsia="Times New Roman" w:hAnsi="Tahoma" w:cs="Tahoma"/>
                              <w:color w:val="4E3487"/>
                              <w:sz w:val="21"/>
                              <w:szCs w:val="21"/>
                            </w:rPr>
                            <w:t>/LHCRs)</w:t>
                          </w:r>
                        </w:hyperlink>
                        <w:r>
                          <w:rPr>
                            <w:rFonts w:ascii="Tahoma" w:eastAsia="Times New Roman" w:hAnsi="Tahoma" w:cs="Tahoma"/>
                            <w:color w:val="303030"/>
                            <w:sz w:val="21"/>
                            <w:szCs w:val="21"/>
                          </w:rPr>
                          <w:t>, the data security guidance provided by central NHS bodies should be simplified, ​​​​​and data collection requests to health and care staff should be reduced.</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Read the DHSC policy paper about improving the use of health data</w:t>
                          </w:r>
                        </w:hyperlink>
                        <w:r>
                          <w:rPr>
                            <w:rFonts w:ascii="Tahoma" w:eastAsia="Times New Roman" w:hAnsi="Tahoma" w:cs="Tahoma"/>
                            <w:color w:val="303030"/>
                            <w:sz w:val="21"/>
                            <w:szCs w:val="21"/>
                          </w:rPr>
                          <w:t xml:space="preserve"> </w:t>
                        </w:r>
                      </w:p>
                      <w:p w14:paraId="69B4DEC0" w14:textId="77777777" w:rsidR="00395130" w:rsidRDefault="00395130">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9D37BCB">
                            <v:rect id="_x0000_i1035" style="width:468pt;height:1.5pt" o:hralign="center" o:hrstd="t" o:hr="t" fillcolor="#a0a0a0" stroked="f"/>
                          </w:pict>
                        </w:r>
                      </w:p>
                      <w:p w14:paraId="5AD26C8D" w14:textId="77777777" w:rsidR="00395130" w:rsidRDefault="00395130">
                        <w:pPr>
                          <w:pStyle w:val="Heading3"/>
                          <w:rPr>
                            <w:rFonts w:eastAsia="Times New Roman"/>
                          </w:rPr>
                        </w:pPr>
                        <w:r>
                          <w:rPr>
                            <w:rFonts w:eastAsia="Times New Roman"/>
                          </w:rPr>
                          <w:t xml:space="preserve">Update on pharmacy IT workstreams </w:t>
                        </w:r>
                        <w:proofErr w:type="gramStart"/>
                        <w:r>
                          <w:rPr>
                            <w:rFonts w:eastAsia="Times New Roman"/>
                          </w:rPr>
                          <w:t>published</w:t>
                        </w:r>
                        <w:proofErr w:type="gramEnd"/>
                      </w:p>
                      <w:p w14:paraId="559B4047" w14:textId="12D24FFE" w:rsidR="00395130" w:rsidRDefault="00395130" w:rsidP="0024212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Community Pharmacy IT Group (CP ITG) has published its summer 2021 Pharmacy IT round-up following its </w:t>
                        </w:r>
                        <w:hyperlink r:id="rId12" w:tgtFrame="_blank" w:history="1">
                          <w:r>
                            <w:rPr>
                              <w:rStyle w:val="Hyperlink"/>
                              <w:rFonts w:ascii="Tahoma" w:eastAsia="Times New Roman" w:hAnsi="Tahoma" w:cs="Tahoma"/>
                              <w:b/>
                              <w:bCs/>
                              <w:color w:val="4E3487"/>
                              <w:sz w:val="21"/>
                              <w:szCs w:val="21"/>
                            </w:rPr>
                            <w:t>quarterly meeting on June 9th</w:t>
                          </w:r>
                        </w:hyperlink>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t>This round-up includes updates on the Care Identity Service 2 (CIS2), the Community Pharmacist Consultation Service (CPCS), the pharmacy infrastructure survey and more. Both </w:t>
                        </w:r>
                        <w:hyperlink r:id="rId13" w:tgtFrame="_blank" w:history="1">
                          <w:r>
                            <w:rPr>
                              <w:rStyle w:val="Hyperlink"/>
                              <w:rFonts w:ascii="Tahoma" w:eastAsia="Times New Roman" w:hAnsi="Tahoma" w:cs="Tahoma"/>
                              <w:b/>
                              <w:bCs/>
                              <w:color w:val="4E3487"/>
                              <w:sz w:val="21"/>
                              <w:szCs w:val="21"/>
                            </w:rPr>
                            <w:t>PDF</w:t>
                          </w:r>
                        </w:hyperlink>
                        <w:r>
                          <w:rPr>
                            <w:rFonts w:ascii="Tahoma" w:eastAsia="Times New Roman" w:hAnsi="Tahoma" w:cs="Tahoma"/>
                            <w:color w:val="303030"/>
                            <w:sz w:val="21"/>
                            <w:szCs w:val="21"/>
                          </w:rPr>
                          <w:t> and </w:t>
                        </w:r>
                        <w:hyperlink r:id="rId14" w:tgtFrame="_blank" w:history="1">
                          <w:r>
                            <w:rPr>
                              <w:rStyle w:val="Hyperlink"/>
                              <w:rFonts w:ascii="Tahoma" w:eastAsia="Times New Roman" w:hAnsi="Tahoma" w:cs="Tahoma"/>
                              <w:b/>
                              <w:bCs/>
                              <w:color w:val="4E3487"/>
                              <w:sz w:val="21"/>
                              <w:szCs w:val="21"/>
                            </w:rPr>
                            <w:t>HTML</w:t>
                          </w:r>
                        </w:hyperlink>
                        <w:r>
                          <w:rPr>
                            <w:rFonts w:ascii="Tahoma" w:eastAsia="Times New Roman" w:hAnsi="Tahoma" w:cs="Tahoma"/>
                            <w:color w:val="303030"/>
                            <w:sz w:val="21"/>
                            <w:szCs w:val="21"/>
                          </w:rPr>
                          <w:t> versions of this round-up are available.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5" w:tgtFrame="_blank" w:history="1">
                          <w:r>
                            <w:rPr>
                              <w:rStyle w:val="Hyperlink"/>
                              <w:rFonts w:ascii="Tahoma" w:eastAsia="Times New Roman" w:hAnsi="Tahoma" w:cs="Tahoma"/>
                              <w:b/>
                              <w:bCs/>
                              <w:color w:val="4E3487"/>
                              <w:sz w:val="21"/>
                              <w:szCs w:val="21"/>
                            </w:rPr>
                            <w:t>Learn more about the CP ITG</w:t>
                          </w:r>
                        </w:hyperlink>
                        <w:r>
                          <w:rPr>
                            <w:rFonts w:ascii="Tahoma" w:eastAsia="Times New Roman" w:hAnsi="Tahoma" w:cs="Tahoma"/>
                            <w:color w:val="303030"/>
                            <w:sz w:val="21"/>
                            <w:szCs w:val="21"/>
                          </w:rPr>
                          <w:t xml:space="preserve"> </w:t>
                        </w:r>
                      </w:p>
                      <w:p w14:paraId="3FFDC294" w14:textId="77777777" w:rsidR="00395130" w:rsidRDefault="00395130">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14104C5">
                            <v:rect id="_x0000_i1036" style="width:468pt;height:1.5pt" o:hralign="center" o:hrstd="t" o:hr="t" fillcolor="#a0a0a0" stroked="f"/>
                          </w:pict>
                        </w:r>
                      </w:p>
                      <w:p w14:paraId="051E78FE" w14:textId="77777777" w:rsidR="00395130" w:rsidRDefault="00395130">
                        <w:pPr>
                          <w:pStyle w:val="Heading3"/>
                          <w:rPr>
                            <w:rFonts w:eastAsia="Times New Roman"/>
                          </w:rPr>
                        </w:pPr>
                        <w:r>
                          <w:rPr>
                            <w:rFonts w:eastAsia="Times New Roman"/>
                          </w:rPr>
                          <w:t>New briefing published on Hub and Spoke dispensing</w:t>
                        </w:r>
                      </w:p>
                      <w:p w14:paraId="7D1457D9" w14:textId="1033E69C" w:rsidR="00395130" w:rsidRDefault="00395130" w:rsidP="0039513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Regulations Team at PSNC has published a briefing for community pharmacy contractors on Hub and Spoke (H&amp;S) dispensing. </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This briefing includes information about H&amp;S dispensing and its potential impact and details of the likely regulatory issues that could arise, as well as some of the views of PSNC and others on H&amp;S. </w:t>
                        </w:r>
                      </w:p>
                      <w:p w14:paraId="107B2D26" w14:textId="77777777" w:rsidR="00395130" w:rsidRDefault="00395130" w:rsidP="00395130">
                        <w:pPr>
                          <w:pStyle w:val="NormalWeb"/>
                          <w:spacing w:line="264" w:lineRule="auto"/>
                          <w:rPr>
                            <w:rFonts w:ascii="Tahoma" w:hAnsi="Tahoma" w:cs="Tahoma"/>
                            <w:color w:val="303030"/>
                            <w:sz w:val="21"/>
                            <w:szCs w:val="21"/>
                          </w:rPr>
                        </w:pPr>
                        <w:hyperlink r:id="rId16" w:tgtFrame="_blank" w:history="1">
                          <w:r>
                            <w:rPr>
                              <w:rStyle w:val="Hyperlink"/>
                              <w:rFonts w:ascii="Tahoma" w:hAnsi="Tahoma" w:cs="Tahoma"/>
                              <w:b/>
                              <w:bCs/>
                              <w:color w:val="4E3487"/>
                              <w:sz w:val="21"/>
                              <w:szCs w:val="21"/>
                            </w:rPr>
                            <w:t>Read PSNC's briefing on H&amp;S dispensing</w:t>
                          </w:r>
                        </w:hyperlink>
                      </w:p>
                    </w:tc>
                    <w:tc>
                      <w:tcPr>
                        <w:tcW w:w="150" w:type="dxa"/>
                        <w:vAlign w:val="center"/>
                        <w:hideMark/>
                      </w:tcPr>
                      <w:p w14:paraId="607FD475" w14:textId="77777777" w:rsidR="00395130" w:rsidRDefault="00395130">
                        <w:pPr>
                          <w:rPr>
                            <w:rFonts w:ascii="Tahoma" w:hAnsi="Tahoma" w:cs="Tahoma"/>
                            <w:color w:val="303030"/>
                            <w:sz w:val="21"/>
                            <w:szCs w:val="21"/>
                          </w:rPr>
                        </w:pPr>
                      </w:p>
                    </w:tc>
                  </w:tr>
                  <w:tr w:rsidR="00395130" w14:paraId="568959F7" w14:textId="77777777">
                    <w:trPr>
                      <w:trHeight w:val="150"/>
                      <w:tblCellSpacing w:w="15" w:type="dxa"/>
                      <w:jc w:val="center"/>
                    </w:trPr>
                    <w:tc>
                      <w:tcPr>
                        <w:tcW w:w="150" w:type="dxa"/>
                        <w:vAlign w:val="center"/>
                        <w:hideMark/>
                      </w:tcPr>
                      <w:p w14:paraId="4ABE8B0B" w14:textId="77777777" w:rsidR="00395130" w:rsidRDefault="00395130">
                        <w:pPr>
                          <w:rPr>
                            <w:rFonts w:ascii="Times New Roman" w:eastAsia="Times New Roman" w:hAnsi="Times New Roman" w:cs="Times New Roman"/>
                            <w:sz w:val="20"/>
                            <w:szCs w:val="20"/>
                          </w:rPr>
                        </w:pPr>
                      </w:p>
                    </w:tc>
                    <w:tc>
                      <w:tcPr>
                        <w:tcW w:w="8700" w:type="dxa"/>
                        <w:vAlign w:val="center"/>
                        <w:hideMark/>
                      </w:tcPr>
                      <w:p w14:paraId="0AE8EF07" w14:textId="77777777" w:rsidR="00395130" w:rsidRDefault="00395130">
                        <w:pPr>
                          <w:rPr>
                            <w:rFonts w:ascii="Times New Roman" w:eastAsia="Times New Roman" w:hAnsi="Times New Roman" w:cs="Times New Roman"/>
                            <w:sz w:val="20"/>
                            <w:szCs w:val="20"/>
                          </w:rPr>
                        </w:pPr>
                      </w:p>
                    </w:tc>
                    <w:tc>
                      <w:tcPr>
                        <w:tcW w:w="150" w:type="dxa"/>
                        <w:vAlign w:val="center"/>
                        <w:hideMark/>
                      </w:tcPr>
                      <w:p w14:paraId="2526A4B4" w14:textId="77777777" w:rsidR="00395130" w:rsidRDefault="00395130">
                        <w:pPr>
                          <w:rPr>
                            <w:rFonts w:ascii="Times New Roman" w:eastAsia="Times New Roman" w:hAnsi="Times New Roman" w:cs="Times New Roman"/>
                            <w:sz w:val="20"/>
                            <w:szCs w:val="20"/>
                          </w:rPr>
                        </w:pPr>
                      </w:p>
                    </w:tc>
                  </w:tr>
                </w:tbl>
                <w:p w14:paraId="6E4D4AFE" w14:textId="77777777" w:rsidR="00395130" w:rsidRDefault="00395130">
                  <w:pPr>
                    <w:jc w:val="center"/>
                    <w:rPr>
                      <w:rFonts w:ascii="Times New Roman" w:eastAsia="Times New Roman" w:hAnsi="Times New Roman" w:cs="Times New Roman"/>
                      <w:sz w:val="20"/>
                      <w:szCs w:val="20"/>
                    </w:rPr>
                  </w:pPr>
                </w:p>
              </w:tc>
            </w:tr>
          </w:tbl>
          <w:p w14:paraId="715FE3DC" w14:textId="77777777" w:rsidR="00395130" w:rsidRDefault="00395130">
            <w:pPr>
              <w:jc w:val="center"/>
              <w:rPr>
                <w:rFonts w:ascii="Times New Roman" w:eastAsia="Times New Roman" w:hAnsi="Times New Roman" w:cs="Times New Roman"/>
                <w:sz w:val="20"/>
                <w:szCs w:val="20"/>
              </w:rPr>
            </w:pPr>
          </w:p>
        </w:tc>
      </w:tr>
      <w:tr w:rsidR="00395130" w14:paraId="28894875" w14:textId="77777777" w:rsidTr="00395130">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95130" w14:paraId="188B01BB"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95130" w14:paraId="0074F677" w14:textId="77777777">
                    <w:trPr>
                      <w:tblCellSpacing w:w="0" w:type="dxa"/>
                      <w:jc w:val="center"/>
                    </w:trPr>
                    <w:tc>
                      <w:tcPr>
                        <w:tcW w:w="3000" w:type="dxa"/>
                        <w:tcMar>
                          <w:top w:w="30" w:type="dxa"/>
                          <w:left w:w="75" w:type="dxa"/>
                          <w:bottom w:w="30" w:type="dxa"/>
                          <w:right w:w="75" w:type="dxa"/>
                        </w:tcMar>
                        <w:hideMark/>
                      </w:tcPr>
                      <w:p w14:paraId="78C59855" w14:textId="77777777" w:rsidR="00395130" w:rsidRDefault="00395130">
                        <w:pPr>
                          <w:pStyle w:val="Heading4"/>
                          <w:jc w:val="center"/>
                          <w:rPr>
                            <w:rFonts w:eastAsia="Times New Roman"/>
                          </w:rPr>
                        </w:pPr>
                        <w:r>
                          <w:rPr>
                            <w:rFonts w:eastAsia="Times New Roman"/>
                          </w:rPr>
                          <w:lastRenderedPageBreak/>
                          <w:t>Pharmaceutical Services Negotiating Committee</w:t>
                        </w:r>
                      </w:p>
                      <w:p w14:paraId="4F71F169" w14:textId="18D30FB7" w:rsidR="00395130" w:rsidRDefault="00395130">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660D43B" wp14:editId="2EEEC39C">
                              <wp:extent cx="609600" cy="304800"/>
                              <wp:effectExtent l="0" t="0" r="0" b="0"/>
                              <wp:docPr id="5" name="Picture 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BBAAD09" wp14:editId="45900EF2">
                              <wp:extent cx="609600" cy="304800"/>
                              <wp:effectExtent l="0" t="0" r="0" b="0"/>
                              <wp:docPr id="4" name="Picture 4">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38CDE55" wp14:editId="3A743B35">
                              <wp:extent cx="609600" cy="304800"/>
                              <wp:effectExtent l="0" t="0" r="0" b="0"/>
                              <wp:docPr id="3" name="Picture 3">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E3A0EDD" wp14:editId="040A0DC8">
                              <wp:extent cx="609600" cy="304800"/>
                              <wp:effectExtent l="0" t="0" r="0" b="0"/>
                              <wp:docPr id="2" name="Picture 2">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1471EC9" w14:textId="77777777" w:rsidR="00395130" w:rsidRDefault="00395130">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9"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395130" w14:paraId="3CE83F2B" w14:textId="77777777">
                    <w:trPr>
                      <w:trHeight w:val="450"/>
                      <w:tblCellSpacing w:w="0" w:type="dxa"/>
                      <w:jc w:val="center"/>
                    </w:trPr>
                    <w:tc>
                      <w:tcPr>
                        <w:tcW w:w="9000" w:type="dxa"/>
                        <w:tcMar>
                          <w:top w:w="150" w:type="dxa"/>
                          <w:left w:w="0" w:type="dxa"/>
                          <w:bottom w:w="0" w:type="dxa"/>
                          <w:right w:w="0" w:type="dxa"/>
                        </w:tcMar>
                        <w:vAlign w:val="center"/>
                        <w:hideMark/>
                      </w:tcPr>
                      <w:p w14:paraId="221FE6DC" w14:textId="6F9DB4F4" w:rsidR="00395130" w:rsidRDefault="00395130">
                        <w:pPr>
                          <w:jc w:val="center"/>
                          <w:rPr>
                            <w:rFonts w:ascii="Arial" w:eastAsia="Times New Roman" w:hAnsi="Arial" w:cs="Arial"/>
                            <w:color w:val="FFFFFF"/>
                            <w:sz w:val="17"/>
                            <w:szCs w:val="17"/>
                          </w:rPr>
                        </w:pPr>
                      </w:p>
                    </w:tc>
                  </w:tr>
                </w:tbl>
                <w:p w14:paraId="34CC3145" w14:textId="77777777" w:rsidR="00395130" w:rsidRDefault="00395130">
                  <w:pPr>
                    <w:jc w:val="center"/>
                    <w:rPr>
                      <w:rFonts w:ascii="Times New Roman" w:eastAsia="Times New Roman" w:hAnsi="Times New Roman" w:cs="Times New Roman"/>
                      <w:sz w:val="20"/>
                      <w:szCs w:val="20"/>
                    </w:rPr>
                  </w:pPr>
                </w:p>
              </w:tc>
            </w:tr>
          </w:tbl>
          <w:p w14:paraId="27CE185C" w14:textId="77777777" w:rsidR="00395130" w:rsidRDefault="00395130">
            <w:pPr>
              <w:jc w:val="center"/>
              <w:rPr>
                <w:rFonts w:ascii="Times New Roman" w:eastAsia="Times New Roman" w:hAnsi="Times New Roman" w:cs="Times New Roman"/>
                <w:sz w:val="20"/>
                <w:szCs w:val="20"/>
              </w:rPr>
            </w:pPr>
          </w:p>
        </w:tc>
      </w:tr>
    </w:tbl>
    <w:p w14:paraId="35AD6B79" w14:textId="5BD9FB05" w:rsidR="00395130" w:rsidRDefault="00395130" w:rsidP="00395130">
      <w:pPr>
        <w:rPr>
          <w:rFonts w:eastAsia="Times New Roman"/>
        </w:rPr>
      </w:pPr>
      <w:r>
        <w:rPr>
          <w:rFonts w:eastAsia="Times New Roman"/>
          <w:noProof/>
        </w:rPr>
        <w:drawing>
          <wp:inline distT="0" distB="0" distL="0" distR="0" wp14:anchorId="3458FFAA" wp14:editId="51D10C84">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4189EB3"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30"/>
    <w:rsid w:val="0024212E"/>
    <w:rsid w:val="00395130"/>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1355"/>
  <w15:chartTrackingRefBased/>
  <w15:docId w15:val="{21F08087-346F-4AFE-9219-E3712B12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130"/>
    <w:rPr>
      <w:rFonts w:ascii="Calibri" w:hAnsi="Calibri" w:cs="Calibri"/>
      <w:lang w:eastAsia="en-GB"/>
    </w:rPr>
  </w:style>
  <w:style w:type="paragraph" w:styleId="Heading1">
    <w:name w:val="heading 1"/>
    <w:basedOn w:val="Normal"/>
    <w:link w:val="Heading1Char"/>
    <w:uiPriority w:val="9"/>
    <w:qFormat/>
    <w:rsid w:val="00395130"/>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395130"/>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395130"/>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395130"/>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130"/>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395130"/>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395130"/>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395130"/>
    <w:rPr>
      <w:rFonts w:ascii="Tahoma" w:hAnsi="Tahoma" w:cs="Tahoma"/>
      <w:b/>
      <w:bCs/>
      <w:color w:val="FFFFFF"/>
      <w:sz w:val="18"/>
      <w:szCs w:val="18"/>
      <w:lang w:eastAsia="en-GB"/>
    </w:rPr>
  </w:style>
  <w:style w:type="paragraph" w:styleId="NormalWeb">
    <w:name w:val="Normal (Web)"/>
    <w:basedOn w:val="Normal"/>
    <w:uiPriority w:val="99"/>
    <w:semiHidden/>
    <w:unhideWhenUsed/>
    <w:rsid w:val="00395130"/>
    <w:pPr>
      <w:spacing w:before="100" w:beforeAutospacing="1" w:after="100" w:afterAutospacing="1"/>
    </w:pPr>
  </w:style>
  <w:style w:type="character" w:styleId="Strong">
    <w:name w:val="Strong"/>
    <w:basedOn w:val="DefaultParagraphFont"/>
    <w:uiPriority w:val="22"/>
    <w:qFormat/>
    <w:rsid w:val="00395130"/>
    <w:rPr>
      <w:b/>
      <w:bCs/>
    </w:rPr>
  </w:style>
  <w:style w:type="character" w:styleId="Hyperlink">
    <w:name w:val="Hyperlink"/>
    <w:basedOn w:val="DefaultParagraphFont"/>
    <w:uiPriority w:val="99"/>
    <w:semiHidden/>
    <w:unhideWhenUsed/>
    <w:rsid w:val="003951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3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53bb1ac0e2&amp;e=d19e9fd41c" TargetMode="External"/><Relationship Id="rId13" Type="http://schemas.openxmlformats.org/officeDocument/2006/relationships/hyperlink" Target="https://psnc.us7.list-manage.com/track/click?u=86d41ab7fa4c7c2c5d7210782&amp;id=25075f3fbd&amp;e=d19e9fd41c" TargetMode="External"/><Relationship Id="rId18" Type="http://schemas.openxmlformats.org/officeDocument/2006/relationships/image" Target="media/image3.png"/><Relationship Id="rId26" Type="http://schemas.openxmlformats.org/officeDocument/2006/relationships/hyperlink" Target="https://psnc.us7.list-manage.com/track/click?u=86d41ab7fa4c7c2c5d7210782&amp;id=384848e8dc&amp;e=d19e9fd41c" TargetMode="Externa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16ff934873&amp;e=d19e9fd41c" TargetMode="External"/><Relationship Id="rId17" Type="http://schemas.openxmlformats.org/officeDocument/2006/relationships/hyperlink" Target="https://psnc.us7.list-manage.com/track/click?u=86d41ab7fa4c7c2c5d7210782&amp;id=e61276ecb4&amp;e=d19e9fd41c" TargetMode="External"/><Relationship Id="rId25" Type="http://schemas.openxmlformats.org/officeDocument/2006/relationships/image" Target="https://gallery.mailchimp.com/86d41ab7fa4c7c2c5d7210782/images/cd088afd-0ac0-4498-8ed1-e4199bf882ce.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snc.us7.list-manage.com/track/click?u=86d41ab7fa4c7c2c5d7210782&amp;id=5ffa63f33a&amp;e=d19e9fd41c" TargetMode="External"/><Relationship Id="rId20" Type="http://schemas.openxmlformats.org/officeDocument/2006/relationships/hyperlink" Target="https://psnc.us7.list-manage.com/track/click?u=86d41ab7fa4c7c2c5d7210782&amp;id=6993023efe&amp;e=d19e9fd41c" TargetMode="External"/><Relationship Id="rId29" Type="http://schemas.openxmlformats.org/officeDocument/2006/relationships/hyperlink" Target="mailto:info@psnc.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cd7d54e765&amp;e=d19e9fd41c"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752265c86f&amp;e=d19e9fd41c" TargetMode="External"/><Relationship Id="rId23" Type="http://schemas.openxmlformats.org/officeDocument/2006/relationships/hyperlink" Target="https://psnc.us7.list-manage.com/track/click?u=86d41ab7fa4c7c2c5d7210782&amp;id=ae74ad003b&amp;e=d19e9fd41c" TargetMode="External"/><Relationship Id="rId28" Type="http://schemas.openxmlformats.org/officeDocument/2006/relationships/image" Target="https://gallery.mailchimp.com/86d41ab7fa4c7c2c5d7210782/images/f5c0845f-f39c-425d-8d3c-deff11493c50.png" TargetMode="External"/><Relationship Id="rId10" Type="http://schemas.openxmlformats.org/officeDocument/2006/relationships/hyperlink" Target="https://psnc.us7.list-manage.com/track/click?u=86d41ab7fa4c7c2c5d7210782&amp;id=33c0aeceaa&amp;e=d19e9fd41c" TargetMode="External"/><Relationship Id="rId19" Type="http://schemas.openxmlformats.org/officeDocument/2006/relationships/image" Target="https://gallery.mailchimp.com/86d41ab7fa4c7c2c5d7210782/images/5acd9cf1-bdba-4039-b74f-638b444ff5d8.png" TargetMode="External"/><Relationship Id="rId31" Type="http://schemas.openxmlformats.org/officeDocument/2006/relationships/image" Target="https://psnc.us7.list-manage.com/track/open.php?u=86d41ab7fa4c7c2c5d7210782&amp;id=614c9785b5&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688ec22432&amp;e=d19e9fd41c" TargetMode="External"/><Relationship Id="rId14" Type="http://schemas.openxmlformats.org/officeDocument/2006/relationships/hyperlink" Target="https://psnc.us7.list-manage.com/track/click?u=86d41ab7fa4c7c2c5d7210782&amp;id=8d35c9728a&amp;e=d19e9fd41c" TargetMode="External"/><Relationship Id="rId22" Type="http://schemas.openxmlformats.org/officeDocument/2006/relationships/image" Target="https://gallery.mailchimp.com/86d41ab7fa4c7c2c5d7210782/images/e1475f6b-1081-4509-ab25-9cd7f83d26b2.png" TargetMode="External"/><Relationship Id="rId27" Type="http://schemas.openxmlformats.org/officeDocument/2006/relationships/image" Target="media/image6.png"/><Relationship Id="rId30"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2021-07-02T07:12:00Z</dcterms:created>
  <dcterms:modified xsi:type="dcterms:W3CDTF">2021-07-02T07:48:00Z</dcterms:modified>
</cp:coreProperties>
</file>