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F6623F">
                          <w:rPr>
                            <w:noProof/>
                          </w:rPr>
                          <w:fldChar w:fldCharType="begin"/>
                        </w:r>
                        <w:r w:rsidR="00F6623F">
                          <w:rPr>
                            <w:noProof/>
                          </w:rPr>
                          <w:instrText xml:space="preserve"> </w:instrText>
                        </w:r>
                        <w:r w:rsidR="00F6623F">
                          <w:rPr>
                            <w:noProof/>
                          </w:rPr>
                          <w:instrText>INCLUDEPICTURE  "/var/folders/zq/_hgbfm5j5m929n</w:instrText>
                        </w:r>
                        <w:r w:rsidR="00F6623F">
                          <w:rPr>
                            <w:noProof/>
                          </w:rPr>
                          <w:instrText>sq7yq0snt00000gn/T/com.microsoft.Word/WebArchiveCopyPasteTempFiles/001d399a-96a4-4e1f-b905-a21d530b5d29.jpg" \* MERGEFORMATINET</w:instrText>
                        </w:r>
                        <w:r w:rsidR="00F6623F">
                          <w:rPr>
                            <w:noProof/>
                          </w:rPr>
                          <w:instrText xml:space="preserve"> </w:instrText>
                        </w:r>
                        <w:r w:rsidR="00F6623F">
                          <w:rPr>
                            <w:noProof/>
                          </w:rPr>
                          <w:fldChar w:fldCharType="separate"/>
                        </w:r>
                        <w:r w:rsidR="00F6623F">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F6623F">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58B342FE" w:rsidR="002F42A7" w:rsidRPr="00DE6A3B" w:rsidRDefault="00326D98"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Mon</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12</w:t>
                        </w:r>
                        <w:r w:rsidR="00A734A1" w:rsidRPr="00A734A1">
                          <w:rPr>
                            <w:rFonts w:ascii="Tahoma" w:hAnsi="Tahoma" w:cs="Tahoma"/>
                            <w:color w:val="93378A"/>
                            <w:sz w:val="30"/>
                            <w:szCs w:val="30"/>
                            <w:vertAlign w:val="superscript"/>
                          </w:rPr>
                          <w:t>t</w:t>
                        </w:r>
                        <w:r>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F6623F">
                    <w:rPr>
                      <w:rFonts w:ascii="Helvetica" w:hAnsi="Helvetica"/>
                      <w:noProof/>
                      <w:color w:val="000000"/>
                      <w:sz w:val="18"/>
                      <w:szCs w:val="18"/>
                    </w:rPr>
                    <w:fldChar w:fldCharType="begin"/>
                  </w:r>
                  <w:r w:rsidR="00F6623F">
                    <w:rPr>
                      <w:rFonts w:ascii="Helvetica" w:hAnsi="Helvetica"/>
                      <w:noProof/>
                      <w:color w:val="000000"/>
                      <w:sz w:val="18"/>
                      <w:szCs w:val="18"/>
                    </w:rPr>
                    <w:instrText xml:space="preserve"> </w:instrText>
                  </w:r>
                  <w:r w:rsidR="00F6623F">
                    <w:rPr>
                      <w:rFonts w:ascii="Helvetica" w:hAnsi="Helvetica"/>
                      <w:noProof/>
                      <w:color w:val="000000"/>
                      <w:sz w:val="18"/>
                      <w:szCs w:val="18"/>
                    </w:rPr>
                    <w:instrText>INCLUDEPICTURE  "/var/folders/zq/_hgbfm5j5m929nsq7yq0snt00000gn/T/com.microsoft.Word/WebArchiveCopyPasteTempFiles/Newsletter-style-bar.png" \* MERGEFORMATINET</w:instrText>
                  </w:r>
                  <w:r w:rsidR="00F6623F">
                    <w:rPr>
                      <w:rFonts w:ascii="Helvetica" w:hAnsi="Helvetica"/>
                      <w:noProof/>
                      <w:color w:val="000000"/>
                      <w:sz w:val="18"/>
                      <w:szCs w:val="18"/>
                    </w:rPr>
                    <w:instrText xml:space="preserve"> </w:instrText>
                  </w:r>
                  <w:r w:rsidR="00F6623F">
                    <w:rPr>
                      <w:rFonts w:ascii="Helvetica" w:hAnsi="Helvetica"/>
                      <w:noProof/>
                      <w:color w:val="000000"/>
                      <w:sz w:val="18"/>
                      <w:szCs w:val="18"/>
                    </w:rPr>
                    <w:fldChar w:fldCharType="separate"/>
                  </w:r>
                  <w:r w:rsidR="00F6623F">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F6623F">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F6623F"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0EC06B60" w14:textId="77777777" w:rsidR="00326D98" w:rsidRDefault="00326D98" w:rsidP="00326D98">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HEE workforce survey; PCN Leads survey; April DND list additions; Medicine Supply Notifications.</w:t>
                        </w:r>
                      </w:p>
                      <w:p w14:paraId="06E40218" w14:textId="77777777" w:rsidR="00326D98" w:rsidRPr="00326D98" w:rsidRDefault="00326D98" w:rsidP="00326D98">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326D98">
                          <w:rPr>
                            <w:rFonts w:ascii="Tahoma" w:hAnsi="Tahoma" w:cs="Tahoma"/>
                            <w:b/>
                            <w:bCs/>
                            <w:color w:val="4E3487"/>
                            <w:sz w:val="28"/>
                            <w:szCs w:val="28"/>
                          </w:rPr>
                          <w:t>HEE workforce survey to start in early May</w:t>
                        </w:r>
                      </w:p>
                      <w:p w14:paraId="7430F961" w14:textId="77777777" w:rsidR="00326D98" w:rsidRDefault="00326D98" w:rsidP="00326D98">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Health Education England (HEE) is repeating its Community Pharmacy Workforce Survey across England. This survey has been commissioned to better understand the numbers and skill mix in the community pharmacy workforce and inform planning and future investment in education. Data collection from pharmacy contractors is planned to start on 4th May 2021. </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HEE plans to work towards a yearly data collection from 2022, with this process set to inform the future planning and funding in relation to the development of the community pharmacy workforce across the NHS in England. It will also inform the deliverables of the NHS People Plan.</w:t>
                        </w:r>
                      </w:p>
                      <w:p w14:paraId="15DBF3F4" w14:textId="77777777" w:rsidR="00326D98" w:rsidRDefault="00326D98" w:rsidP="00326D98">
                        <w:pPr>
                          <w:pStyle w:val="NormalWeb"/>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Learn more about the HEE workforce survey</w:t>
                          </w:r>
                        </w:hyperlink>
                      </w:p>
                      <w:p w14:paraId="322A98E8" w14:textId="77777777" w:rsidR="00326D98" w:rsidRPr="00326D98" w:rsidRDefault="00326D98" w:rsidP="00326D98">
                        <w:pPr>
                          <w:pStyle w:val="Heading3"/>
                          <w:spacing w:before="0" w:after="75" w:line="297" w:lineRule="atLeast"/>
                          <w:rPr>
                            <w:rFonts w:ascii="Tahoma" w:hAnsi="Tahoma" w:cs="Tahoma"/>
                            <w:b/>
                            <w:bCs/>
                            <w:color w:val="4E3487"/>
                            <w:sz w:val="28"/>
                            <w:szCs w:val="28"/>
                          </w:rPr>
                        </w:pPr>
                        <w:r w:rsidRPr="00326D98">
                          <w:rPr>
                            <w:rFonts w:ascii="Tahoma" w:hAnsi="Tahoma" w:cs="Tahoma"/>
                            <w:b/>
                            <w:bCs/>
                            <w:color w:val="4E3487"/>
                            <w:sz w:val="28"/>
                            <w:szCs w:val="28"/>
                          </w:rPr>
                          <w:t>Community pharmacy PCN Leads: please share your views</w:t>
                        </w:r>
                      </w:p>
                      <w:p w14:paraId="2738B7C7" w14:textId="77777777" w:rsidR="00326D98" w:rsidRDefault="00326D98" w:rsidP="00326D98">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wants to remind community pharmacy Private Care Network (PCN) Leads to complete the PCN Lead survey before the deadline on 14th April 2021. This survey will help PSNC better understand PCN Leads' experience of meeting the PCN-focussed activities in the Pharmacy Quality Scheme (PQS) Part 2 2020/21 ahead of future negotiations with the Department of Health and Social Care (DHSC) and NHS England and NHS Improvement (NHSE&amp;1).</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Complete the PCN Lead survey</w:t>
                          </w:r>
                        </w:hyperlink>
                      </w:p>
                      <w:p w14:paraId="45EF094F" w14:textId="77777777" w:rsidR="00326D98" w:rsidRPr="00326D98" w:rsidRDefault="00326D98" w:rsidP="00326D98">
                        <w:pPr>
                          <w:pStyle w:val="Heading3"/>
                          <w:spacing w:before="0" w:after="75" w:line="297" w:lineRule="atLeast"/>
                          <w:rPr>
                            <w:rFonts w:ascii="Tahoma" w:hAnsi="Tahoma" w:cs="Tahoma"/>
                            <w:b/>
                            <w:bCs/>
                            <w:color w:val="4E3487"/>
                          </w:rPr>
                        </w:pPr>
                        <w:r>
                          <w:rPr>
                            <w:rFonts w:ascii="Tahoma" w:hAnsi="Tahoma" w:cs="Tahoma"/>
                            <w:color w:val="4E3487"/>
                          </w:rPr>
                          <w:br/>
                        </w:r>
                        <w:r w:rsidRPr="00326D98">
                          <w:rPr>
                            <w:rFonts w:ascii="Tahoma" w:hAnsi="Tahoma" w:cs="Tahoma"/>
                            <w:b/>
                            <w:bCs/>
                            <w:color w:val="4E3487"/>
                            <w:sz w:val="28"/>
                            <w:szCs w:val="28"/>
                          </w:rPr>
                          <w:t>Reminder: 35 products added to the April 2021 DND list</w:t>
                        </w:r>
                      </w:p>
                      <w:p w14:paraId="10BCF32F" w14:textId="77777777" w:rsidR="00326D98" w:rsidRDefault="00326D98" w:rsidP="00326D98">
                        <w:pPr>
                          <w:rPr>
                            <w:rFonts w:ascii="Tahoma" w:hAnsi="Tahoma" w:cs="Tahoma"/>
                            <w:color w:val="303030"/>
                            <w:sz w:val="21"/>
                            <w:szCs w:val="21"/>
                            <w:shd w:val="clear" w:color="auto" w:fill="FFFFFF"/>
                          </w:rPr>
                        </w:pPr>
                        <w:r>
                          <w:rPr>
                            <w:rFonts w:ascii="Tahoma" w:hAnsi="Tahoma" w:cs="Tahoma"/>
                            <w:color w:val="303030"/>
                            <w:sz w:val="21"/>
                            <w:szCs w:val="21"/>
                          </w:rPr>
                          <w:br/>
                        </w:r>
                        <w:r>
                          <w:rPr>
                            <w:rFonts w:ascii="Tahoma" w:hAnsi="Tahoma" w:cs="Tahoma"/>
                            <w:color w:val="303030"/>
                            <w:sz w:val="21"/>
                            <w:szCs w:val="21"/>
                            <w:shd w:val="clear" w:color="auto" w:fill="FFFFFF"/>
                          </w:rPr>
                          <w:t>PSNC wants to remind contractors that a further 35 new products entered the list of ‘Drugs for which Discount is Not Deducted’ (DND) in Part II of the Drug Tariff this month. This takes the total number of products granted DND status over the past 12 months to over 300 following checks made by PSNC.</w:t>
                        </w:r>
                      </w:p>
                      <w:p w14:paraId="3963C016" w14:textId="66922C5E" w:rsidR="00326D98" w:rsidRPr="00326D98" w:rsidRDefault="00326D98" w:rsidP="00326D98">
                        <w:pPr>
                          <w:rPr>
                            <w:rFonts w:ascii="Times New Roman" w:hAnsi="Times New Roman" w:cs="Times New Roman"/>
                          </w:rPr>
                        </w:pP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about how discount deduction works</w:t>
                          </w:r>
                        </w:hyperlink>
                      </w:p>
                      <w:p w14:paraId="42CCDEA3" w14:textId="77777777" w:rsidR="00326D98" w:rsidRPr="00326D98" w:rsidRDefault="00326D98" w:rsidP="00326D98">
                        <w:pPr>
                          <w:pStyle w:val="Heading3"/>
                          <w:spacing w:before="0" w:after="75" w:line="297" w:lineRule="atLeast"/>
                          <w:rPr>
                            <w:rFonts w:ascii="Tahoma" w:hAnsi="Tahoma" w:cs="Tahoma"/>
                            <w:b/>
                            <w:bCs/>
                            <w:color w:val="4E3487"/>
                            <w:sz w:val="28"/>
                            <w:szCs w:val="28"/>
                          </w:rPr>
                        </w:pPr>
                        <w:r w:rsidRPr="00326D98">
                          <w:rPr>
                            <w:rFonts w:ascii="Tahoma" w:hAnsi="Tahoma" w:cs="Tahoma"/>
                            <w:b/>
                            <w:bCs/>
                            <w:color w:val="4E3487"/>
                            <w:sz w:val="28"/>
                            <w:szCs w:val="28"/>
                          </w:rPr>
                          <w:lastRenderedPageBreak/>
                          <w:t>Medicine Supply Notifications</w:t>
                        </w:r>
                      </w:p>
                      <w:p w14:paraId="4885FA77" w14:textId="77777777" w:rsidR="00326D98" w:rsidRDefault="00326D98" w:rsidP="00326D98">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The DHSC has issued Medicine Supply Notifications for the following items:</w:t>
                        </w:r>
                      </w:p>
                      <w:p w14:paraId="56E68C9B" w14:textId="77777777" w:rsidR="00326D98" w:rsidRDefault="00326D98" w:rsidP="00326D98">
                        <w:pPr>
                          <w:numPr>
                            <w:ilvl w:val="0"/>
                            <w:numId w:val="28"/>
                          </w:numPr>
                          <w:spacing w:before="100" w:beforeAutospacing="1" w:after="100" w:afterAutospacing="1"/>
                          <w:jc w:val="both"/>
                          <w:rPr>
                            <w:rFonts w:ascii="Tahoma" w:hAnsi="Tahoma" w:cs="Tahoma"/>
                            <w:color w:val="303030"/>
                            <w:sz w:val="21"/>
                            <w:szCs w:val="21"/>
                          </w:rPr>
                        </w:pPr>
                        <w:hyperlink r:id="rId12" w:tgtFrame="_blank" w:history="1">
                          <w:r>
                            <w:rPr>
                              <w:rStyle w:val="Hyperlink"/>
                              <w:rFonts w:ascii="Tahoma" w:hAnsi="Tahoma" w:cs="Tahoma"/>
                              <w:b/>
                              <w:bCs/>
                              <w:color w:val="4E3487"/>
                              <w:sz w:val="21"/>
                              <w:szCs w:val="21"/>
                            </w:rPr>
                            <w:t>Trifluoperazine 1mg/5ml syrup</w:t>
                          </w:r>
                        </w:hyperlink>
                      </w:p>
                      <w:p w14:paraId="65AD0D4B" w14:textId="77777777" w:rsidR="00326D98" w:rsidRDefault="00326D98" w:rsidP="00326D98">
                        <w:pPr>
                          <w:numPr>
                            <w:ilvl w:val="0"/>
                            <w:numId w:val="28"/>
                          </w:numPr>
                          <w:spacing w:before="100" w:beforeAutospacing="1" w:after="100" w:afterAutospacing="1"/>
                          <w:jc w:val="both"/>
                          <w:rPr>
                            <w:rFonts w:ascii="Tahoma" w:hAnsi="Tahoma" w:cs="Tahoma"/>
                            <w:color w:val="303030"/>
                            <w:sz w:val="21"/>
                            <w:szCs w:val="21"/>
                          </w:rPr>
                        </w:pPr>
                        <w:hyperlink r:id="rId13" w:tgtFrame="_blank" w:history="1">
                          <w:r>
                            <w:rPr>
                              <w:rStyle w:val="Hyperlink"/>
                              <w:rFonts w:ascii="Tahoma" w:hAnsi="Tahoma" w:cs="Tahoma"/>
                              <w:b/>
                              <w:bCs/>
                              <w:color w:val="4E3487"/>
                              <w:sz w:val="21"/>
                              <w:szCs w:val="21"/>
                            </w:rPr>
                            <w:t>Haloperidol 5mg/5ml sugar-free oral solution</w:t>
                          </w:r>
                        </w:hyperlink>
                      </w:p>
                      <w:p w14:paraId="3AE3E12B" w14:textId="77777777" w:rsidR="00326D98" w:rsidRDefault="00326D98" w:rsidP="00326D98">
                        <w:pPr>
                          <w:numPr>
                            <w:ilvl w:val="0"/>
                            <w:numId w:val="28"/>
                          </w:numPr>
                          <w:spacing w:before="100" w:beforeAutospacing="1" w:after="100" w:afterAutospacing="1"/>
                          <w:jc w:val="both"/>
                          <w:rPr>
                            <w:rFonts w:ascii="Tahoma" w:hAnsi="Tahoma" w:cs="Tahoma"/>
                            <w:color w:val="303030"/>
                            <w:sz w:val="21"/>
                            <w:szCs w:val="21"/>
                          </w:rPr>
                        </w:pPr>
                        <w:hyperlink r:id="rId14" w:tgtFrame="_blank" w:history="1">
                          <w:r>
                            <w:rPr>
                              <w:rStyle w:val="Hyperlink"/>
                              <w:rFonts w:ascii="Tahoma" w:hAnsi="Tahoma" w:cs="Tahoma"/>
                              <w:b/>
                              <w:bCs/>
                              <w:color w:val="4E3487"/>
                              <w:sz w:val="21"/>
                              <w:szCs w:val="21"/>
                            </w:rPr>
                            <w:t>Diamorphine hydrochloride powder, 5mg and 10mg ampoules </w:t>
                          </w:r>
                        </w:hyperlink>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586"/>
                        </w:tblGrid>
                        <w:tr w:rsidR="00326D98" w14:paraId="28737B38" w14:textId="77777777" w:rsidTr="00326D98">
                          <w:trPr>
                            <w:tblCellSpacing w:w="15" w:type="dxa"/>
                          </w:trPr>
                          <w:tc>
                            <w:tcPr>
                              <w:tcW w:w="0" w:type="auto"/>
                              <w:shd w:val="clear" w:color="auto" w:fill="4E3487"/>
                              <w:vAlign w:val="center"/>
                              <w:hideMark/>
                            </w:tcPr>
                            <w:p w14:paraId="5342102D" w14:textId="77777777" w:rsidR="00326D98" w:rsidRDefault="00326D98" w:rsidP="00326D98">
                              <w:pPr>
                                <w:pStyle w:val="Heading3"/>
                                <w:spacing w:before="0" w:after="75" w:line="297" w:lineRule="atLeast"/>
                                <w:jc w:val="center"/>
                                <w:rPr>
                                  <w:rFonts w:ascii="Tahoma" w:hAnsi="Tahoma" w:cs="Tahoma"/>
                                  <w:color w:val="FFFFFF"/>
                                  <w:sz w:val="27"/>
                                  <w:szCs w:val="27"/>
                                </w:rPr>
                              </w:pPr>
                              <w:r>
                                <w:rPr>
                                  <w:rFonts w:ascii="Tahoma" w:hAnsi="Tahoma" w:cs="Tahoma"/>
                                  <w:color w:val="FFFFFF"/>
                                </w:rPr>
                                <w:t>Have you seen our latest FAQs?</w:t>
                              </w:r>
                            </w:p>
                          </w:tc>
                        </w:tr>
                      </w:tbl>
                      <w:p w14:paraId="714AEA42" w14:textId="77777777" w:rsidR="00326D98" w:rsidRDefault="00326D98" w:rsidP="00326D98">
                        <w:pPr>
                          <w:pStyle w:val="NormalWeb"/>
                          <w:jc w:val="both"/>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include:</w:t>
                        </w:r>
                      </w:p>
                      <w:p w14:paraId="6209DACA" w14:textId="77777777" w:rsidR="00326D98" w:rsidRDefault="00326D98" w:rsidP="00326D98">
                        <w:pPr>
                          <w:pStyle w:val="NormalWeb"/>
                          <w:rPr>
                            <w:rFonts w:ascii="Tahoma" w:hAnsi="Tahoma" w:cs="Tahoma"/>
                            <w:color w:val="303030"/>
                            <w:sz w:val="21"/>
                            <w:szCs w:val="21"/>
                          </w:rPr>
                        </w:pPr>
                        <w:r>
                          <w:rPr>
                            <w:rStyle w:val="Strong"/>
                            <w:rFonts w:ascii="Tahoma" w:hAnsi="Tahoma" w:cs="Tahoma"/>
                            <w:color w:val="303030"/>
                            <w:sz w:val="21"/>
                            <w:szCs w:val="21"/>
                          </w:rPr>
                          <w:t>Q. Will contractors incur a surcharge if they order test kits from Alliance Healthcare, but they are not the pharmacy’s main wholesaler?</w:t>
                        </w:r>
                        <w:r>
                          <w:rPr>
                            <w:rFonts w:ascii="Tahoma" w:hAnsi="Tahoma" w:cs="Tahoma"/>
                            <w:color w:val="303030"/>
                            <w:sz w:val="21"/>
                            <w:szCs w:val="21"/>
                          </w:rPr>
                          <w:br/>
                          <w:t>No. There will be no surcharges incurred against orders for test kits.</w:t>
                        </w:r>
                      </w:p>
                      <w:p w14:paraId="2F1B581E" w14:textId="77777777" w:rsidR="00326D98" w:rsidRDefault="00326D98" w:rsidP="00326D98">
                        <w:pPr>
                          <w:pStyle w:val="NormalWeb"/>
                          <w:rPr>
                            <w:rFonts w:ascii="Tahoma" w:hAnsi="Tahoma" w:cs="Tahoma"/>
                            <w:color w:val="303030"/>
                            <w:sz w:val="21"/>
                            <w:szCs w:val="21"/>
                          </w:rPr>
                        </w:pPr>
                        <w:r>
                          <w:rPr>
                            <w:rStyle w:val="Strong"/>
                            <w:rFonts w:ascii="Tahoma" w:hAnsi="Tahoma" w:cs="Tahoma"/>
                            <w:color w:val="303030"/>
                            <w:sz w:val="21"/>
                            <w:szCs w:val="21"/>
                          </w:rPr>
                          <w:t>Q. Do I need to maintain a record of stock received other than on MYS?</w:t>
                        </w:r>
                        <w:r>
                          <w:rPr>
                            <w:rFonts w:ascii="Tahoma" w:hAnsi="Tahoma" w:cs="Tahoma"/>
                            <w:color w:val="303030"/>
                            <w:sz w:val="21"/>
                            <w:szCs w:val="21"/>
                          </w:rPr>
                          <w:br/>
                          <w:t>Yes. Contractors should maintain a record of stock received from wholesalers. This will need to be retained for six months from the date on which the stock was delivered to the pharmacy. A template is available for use on the </w:t>
                        </w:r>
                        <w:hyperlink r:id="rId15" w:tgtFrame="_blank" w:history="1">
                          <w:r>
                            <w:rPr>
                              <w:rStyle w:val="Hyperlink"/>
                              <w:rFonts w:ascii="Tahoma" w:hAnsi="Tahoma" w:cs="Tahoma"/>
                              <w:b/>
                              <w:bCs/>
                              <w:color w:val="4E3487"/>
                              <w:sz w:val="21"/>
                              <w:szCs w:val="21"/>
                            </w:rPr>
                            <w:t>C-19 lateral flow device distribution service webpage</w:t>
                          </w:r>
                        </w:hyperlink>
                        <w:r>
                          <w:rPr>
                            <w:rFonts w:ascii="Tahoma" w:hAnsi="Tahoma" w:cs="Tahoma"/>
                            <w:color w:val="303030"/>
                            <w:sz w:val="21"/>
                            <w:szCs w:val="21"/>
                          </w:rPr>
                          <w:t>.</w:t>
                        </w:r>
                      </w:p>
                      <w:p w14:paraId="47103D7B" w14:textId="77777777" w:rsidR="00326D98" w:rsidRDefault="00326D98" w:rsidP="00326D98">
                        <w:pPr>
                          <w:pStyle w:val="NormalWeb"/>
                          <w:rPr>
                            <w:rFonts w:ascii="Tahoma" w:hAnsi="Tahoma" w:cs="Tahoma"/>
                            <w:color w:val="303030"/>
                            <w:sz w:val="21"/>
                            <w:szCs w:val="21"/>
                          </w:rPr>
                        </w:pPr>
                        <w:r>
                          <w:rPr>
                            <w:rStyle w:val="Strong"/>
                            <w:rFonts w:ascii="Tahoma" w:hAnsi="Tahoma" w:cs="Tahoma"/>
                            <w:color w:val="303030"/>
                            <w:sz w:val="21"/>
                            <w:szCs w:val="21"/>
                          </w:rPr>
                          <w:t>Q. If I am ordering test kits from more than one source, are there any additional points to consider?</w:t>
                        </w:r>
                        <w:r>
                          <w:rPr>
                            <w:rFonts w:ascii="Tahoma" w:hAnsi="Tahoma" w:cs="Tahoma"/>
                            <w:color w:val="303030"/>
                            <w:sz w:val="21"/>
                            <w:szCs w:val="21"/>
                          </w:rPr>
                          <w:br/>
                          <w:t>Yes. Where a contractor orders test kits from multiple wholesalers, they are advised to store kits from different wholesalers separately or to have some way to identify which stock has come from which wholesaler. This is to enable contractors to identify which stock may be affected in the event of a product recall linked to a lot supplied from a particular wholesaler.</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Q. If I supply, as one transaction, four boxes of test kits to a person requesting kits for four people, do I get paid four transaction fees?</w:t>
                        </w:r>
                        <w:r>
                          <w:rPr>
                            <w:rFonts w:ascii="Tahoma" w:hAnsi="Tahoma" w:cs="Tahoma"/>
                            <w:color w:val="303030"/>
                            <w:sz w:val="21"/>
                            <w:szCs w:val="21"/>
                          </w:rPr>
                          <w:br/>
                          <w:t>No, a transaction fee is paid for each transaction, not each box of test kits supplied. A transaction can include the supply of up to four test kits.</w:t>
                        </w: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6"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5"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F6623F"/>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4"/>
  </w:num>
  <w:num w:numId="4">
    <w:abstractNumId w:val="13"/>
  </w:num>
  <w:num w:numId="5">
    <w:abstractNumId w:val="3"/>
  </w:num>
  <w:num w:numId="6">
    <w:abstractNumId w:val="11"/>
  </w:num>
  <w:num w:numId="7">
    <w:abstractNumId w:val="10"/>
  </w:num>
  <w:num w:numId="8">
    <w:abstractNumId w:val="7"/>
  </w:num>
  <w:num w:numId="9">
    <w:abstractNumId w:val="12"/>
  </w:num>
  <w:num w:numId="10">
    <w:abstractNumId w:val="17"/>
  </w:num>
  <w:num w:numId="11">
    <w:abstractNumId w:val="8"/>
  </w:num>
  <w:num w:numId="12">
    <w:abstractNumId w:val="22"/>
  </w:num>
  <w:num w:numId="13">
    <w:abstractNumId w:val="4"/>
  </w:num>
  <w:num w:numId="14">
    <w:abstractNumId w:val="23"/>
  </w:num>
  <w:num w:numId="15">
    <w:abstractNumId w:val="26"/>
  </w:num>
  <w:num w:numId="16">
    <w:abstractNumId w:val="19"/>
  </w:num>
  <w:num w:numId="17">
    <w:abstractNumId w:val="20"/>
  </w:num>
  <w:num w:numId="18">
    <w:abstractNumId w:val="1"/>
  </w:num>
  <w:num w:numId="19">
    <w:abstractNumId w:val="9"/>
  </w:num>
  <w:num w:numId="20">
    <w:abstractNumId w:val="27"/>
  </w:num>
  <w:num w:numId="21">
    <w:abstractNumId w:val="16"/>
  </w:num>
  <w:num w:numId="22">
    <w:abstractNumId w:val="2"/>
  </w:num>
  <w:num w:numId="23">
    <w:abstractNumId w:val="14"/>
  </w:num>
  <w:num w:numId="24">
    <w:abstractNumId w:val="15"/>
  </w:num>
  <w:num w:numId="25">
    <w:abstractNumId w:val="18"/>
  </w:num>
  <w:num w:numId="26">
    <w:abstractNumId w:val="21"/>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47173"/>
    <w:rsid w:val="00A53001"/>
    <w:rsid w:val="00A61F99"/>
    <w:rsid w:val="00A663D7"/>
    <w:rsid w:val="00A734A1"/>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6623F"/>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semiHidden/>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e55a1f89b5&amp;e=12757307a1"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snc.us7.list-manage.com/track/click?u=86d41ab7fa4c7c2c5d7210782&amp;id=3f47eea43b&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61692e1562&amp;e=12757307a1" TargetMode="External"/><Relationship Id="rId17" Type="http://schemas.openxmlformats.org/officeDocument/2006/relationships/hyperlink" Target="https://psnc.us7.list-manage.com/track/click?u=86d41ab7fa4c7c2c5d7210782&amp;id=0719e3152f&amp;e=d3dc5e7fbd" TargetMode="External"/><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b671e78d7a&amp;e=d3dc5e7fbd"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d42a58591f&amp;e=12757307a1"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psnc.us7.list-manage.com/track/click?u=86d41ab7fa4c7c2c5d7210782&amp;id=27ffae33aa&amp;e=12757307a1" TargetMode="External"/><Relationship Id="rId23" Type="http://schemas.openxmlformats.org/officeDocument/2006/relationships/hyperlink" Target="https://psnc.us7.list-manage.com/track/click?u=86d41ab7fa4c7c2c5d7210782&amp;id=b774bcfe37&amp;e=d3dc5e7fbd" TargetMode="External"/><Relationship Id="rId10" Type="http://schemas.openxmlformats.org/officeDocument/2006/relationships/hyperlink" Target="https://psnc.us7.list-manage.com/track/click?u=86d41ab7fa4c7c2c5d7210782&amp;id=2938def88d&amp;e=12757307a1" TargetMode="External"/><Relationship Id="rId19" Type="http://schemas.openxmlformats.org/officeDocument/2006/relationships/hyperlink" Target="https://psnc.us7.list-manage.com/track/click?u=86d41ab7fa4c7c2c5d7210782&amp;id=9f085df2d1&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cfa4b63818&amp;e=12757307a1" TargetMode="External"/><Relationship Id="rId14" Type="http://schemas.openxmlformats.org/officeDocument/2006/relationships/hyperlink" Target="https://psnc.us7.list-manage.com/track/click?u=86d41ab7fa4c7c2c5d7210782&amp;id=20ce6ac599&amp;e=12757307a1"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3147</Words>
  <Characters>17940</Characters>
  <Application>Microsoft Office Word</Application>
  <DocSecurity>2</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2021-04-16T22:05:00Z</dcterms:created>
  <dcterms:modified xsi:type="dcterms:W3CDTF">2021-04-16T22:05:00Z</dcterms:modified>
</cp:coreProperties>
</file>