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w:instrText>
                        </w:r>
                        <w:r w:rsidR="00F81B97">
                          <w:rPr>
                            <w:noProof/>
                          </w:rPr>
                          <w:instrText>INCLUDEPICTURE  "/var/folders/zq/_hgbfm5j5m929nsq7yq0snt00000gn/T/com.microsoft.Word/WebArchiveCopyPasteTempFiles/001d399a-96a4-4e1f-b905-a21d530b5d29.jpg" \* MERGEFORMATINET</w:instrText>
                        </w:r>
                        <w:r w:rsidR="00F81B97">
                          <w:rPr>
                            <w:noProof/>
                          </w:rPr>
                          <w:instrText xml:space="preserve"> </w:instrText>
                        </w:r>
                        <w:r w:rsidR="00F81B97">
                          <w:rPr>
                            <w:noProof/>
                          </w:rPr>
                          <w:fldChar w:fldCharType="separate"/>
                        </w:r>
                        <w:r w:rsidR="00F81B97">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088A54C9" w:rsidR="002F42A7" w:rsidRPr="00DE6A3B" w:rsidRDefault="006971BB"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Thur</w:t>
                        </w:r>
                        <w:r w:rsidR="003C0184">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A734A1">
                          <w:rPr>
                            <w:rFonts w:ascii="Tahoma" w:hAnsi="Tahoma" w:cs="Tahoma"/>
                            <w:color w:val="93378A"/>
                            <w:sz w:val="30"/>
                            <w:szCs w:val="30"/>
                          </w:rPr>
                          <w:t>1</w:t>
                        </w:r>
                        <w:r w:rsidR="00A734A1" w:rsidRPr="00A734A1">
                          <w:rPr>
                            <w:rFonts w:ascii="Tahoma" w:hAnsi="Tahoma" w:cs="Tahoma"/>
                            <w:color w:val="93378A"/>
                            <w:sz w:val="30"/>
                            <w:szCs w:val="30"/>
                            <w:vertAlign w:val="superscript"/>
                          </w:rPr>
                          <w:t>st</w:t>
                        </w:r>
                        <w:r w:rsidR="002F42A7" w:rsidRPr="00DE6A3B">
                          <w:rPr>
                            <w:rFonts w:ascii="Tahoma" w:hAnsi="Tahoma" w:cs="Tahoma"/>
                            <w:color w:val="93378A"/>
                            <w:sz w:val="30"/>
                            <w:szCs w:val="30"/>
                          </w:rPr>
                          <w:t xml:space="preserve"> </w:t>
                        </w:r>
                        <w:r>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w:instrText>
                  </w:r>
                  <w:r w:rsidR="00F81B97">
                    <w:rPr>
                      <w:rFonts w:ascii="Helvetica" w:hAnsi="Helvetica"/>
                      <w:noProof/>
                      <w:color w:val="000000"/>
                      <w:sz w:val="18"/>
                      <w:szCs w:val="18"/>
                    </w:rPr>
                    <w:instrText>INCLUDEPICTURE  "/var/folders/zq/_hgbfm5j5m929nsq7yq0snt00000gn/T/com.microsoft.Word/WebArchiveCopyPasteTempFiles/Newsletter-style-bar.png" \* MERGEFORMATINET</w:instrText>
                  </w:r>
                  <w:r w:rsidR="00F81B97">
                    <w:rPr>
                      <w:rFonts w:ascii="Helvetica" w:hAnsi="Helvetica"/>
                      <w:noProof/>
                      <w:color w:val="000000"/>
                      <w:sz w:val="18"/>
                      <w:szCs w:val="18"/>
                    </w:rPr>
                    <w:instrText xml:space="preserve"> </w:instrText>
                  </w:r>
                  <w:r w:rsidR="00F81B97">
                    <w:rPr>
                      <w:rFonts w:ascii="Helvetica" w:hAnsi="Helvetica"/>
                      <w:noProof/>
                      <w:color w:val="000000"/>
                      <w:sz w:val="18"/>
                      <w:szCs w:val="18"/>
                    </w:rPr>
                    <w:fldChar w:fldCharType="separate"/>
                  </w:r>
                  <w:r w:rsidR="00F81B97">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F81B97" w:rsidP="002907F7">
                        <w:pPr>
                          <w:rPr>
                            <w:rFonts w:ascii="Times New Roman" w:hAnsi="Times New Roman" w:cs="Times New Roman"/>
                          </w:rPr>
                        </w:pPr>
                        <w:r>
                          <w:rPr>
                            <w:noProof/>
                          </w:rPr>
                          <w:pict w14:anchorId="2BE0C096">
                            <v:rect id="_x0000_i1025" alt="" style="width:361.75pt;height:.05pt;mso-width-percent:0;mso-height-percent:0;mso-width-percent:0;mso-height-percent:0" o:hrpct="773"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73CEFBE1" w14:textId="77777777" w:rsidR="006971BB" w:rsidRDefault="006971BB" w:rsidP="006971BB">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MURs decommissioned; Terms of service changes for DSPs; NHSE&amp;I letter on flu vaccines for 2021/22; April DND list additions; SSP010 expiry.</w:t>
                        </w:r>
                      </w:p>
                      <w:p w14:paraId="66A1EEE2" w14:textId="77777777" w:rsidR="006971BB" w:rsidRDefault="006971BB" w:rsidP="006971BB">
                        <w:pPr>
                          <w:rPr>
                            <w:rFonts w:ascii="Times New Roman" w:hAnsi="Times New Roman" w:cs="Times New Roman"/>
                          </w:rPr>
                        </w:pPr>
                        <w:r>
                          <w:rPr>
                            <w:rFonts w:ascii="Tahoma" w:hAnsi="Tahoma" w:cs="Tahoma"/>
                            <w:color w:val="303030"/>
                            <w:sz w:val="21"/>
                            <w:szCs w:val="21"/>
                            <w:shd w:val="clear" w:color="auto" w:fill="FFFFFF"/>
                          </w:rPr>
                          <w:t> </w:t>
                        </w:r>
                      </w:p>
                      <w:p w14:paraId="6D562F96" w14:textId="77777777" w:rsidR="006971BB" w:rsidRPr="006971BB" w:rsidRDefault="006971BB" w:rsidP="006971BB">
                        <w:pPr>
                          <w:pStyle w:val="Heading3"/>
                          <w:spacing w:before="0" w:after="75" w:line="297" w:lineRule="atLeast"/>
                          <w:rPr>
                            <w:rFonts w:ascii="Tahoma" w:hAnsi="Tahoma" w:cs="Tahoma"/>
                            <w:b/>
                            <w:bCs/>
                            <w:color w:val="4E3487"/>
                            <w:sz w:val="28"/>
                            <w:szCs w:val="28"/>
                          </w:rPr>
                        </w:pPr>
                        <w:r w:rsidRPr="006971BB">
                          <w:rPr>
                            <w:rFonts w:ascii="Tahoma" w:hAnsi="Tahoma" w:cs="Tahoma"/>
                            <w:b/>
                            <w:bCs/>
                            <w:color w:val="4E3487"/>
                            <w:sz w:val="28"/>
                            <w:szCs w:val="28"/>
                          </w:rPr>
                          <w:t>Medicines Use Review service now decommissioned</w:t>
                        </w:r>
                      </w:p>
                      <w:p w14:paraId="1E6C8561" w14:textId="77777777" w:rsidR="006971BB" w:rsidRDefault="006971BB" w:rsidP="006971BB">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Medicines Use Review (MUR) service has now been decommissioned. Community pharmacy contractors are therefore reminded not to provide any more MURs.</w:t>
                        </w:r>
                      </w:p>
                      <w:p w14:paraId="4445A5B1" w14:textId="77777777" w:rsidR="006971BB" w:rsidRDefault="006971BB" w:rsidP="006971BB">
                        <w:pPr>
                          <w:pStyle w:val="NormalWeb"/>
                          <w:rPr>
                            <w:rFonts w:ascii="Tahoma" w:hAnsi="Tahoma" w:cs="Tahoma"/>
                            <w:color w:val="303030"/>
                            <w:sz w:val="21"/>
                            <w:szCs w:val="21"/>
                          </w:rPr>
                        </w:pPr>
                        <w:r>
                          <w:rPr>
                            <w:rFonts w:ascii="Tahoma" w:hAnsi="Tahoma" w:cs="Tahoma"/>
                            <w:color w:val="303030"/>
                            <w:sz w:val="21"/>
                            <w:szCs w:val="21"/>
                          </w:rPr>
                          <w:t>Community pharmacy contractors were able to provide a total of 100 MURs in 2020/21 ahead of the service being decommissioned. Contractors are, therefore, reminded that if they did provide any MURs during the month of March 2021, the claim for MURs must be submitted by 5th April 2021, in accordance with the usual Drug Tariff claims process. Later claims will not be possible.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 about the decommissioning of MURs</w:t>
                          </w:r>
                        </w:hyperlink>
                      </w:p>
                      <w:p w14:paraId="3EF24DC5" w14:textId="77777777" w:rsidR="006971BB" w:rsidRPr="006971BB" w:rsidRDefault="006971BB" w:rsidP="006971BB">
                        <w:pPr>
                          <w:pStyle w:val="Heading3"/>
                          <w:spacing w:before="0" w:after="75" w:line="297" w:lineRule="atLeast"/>
                          <w:rPr>
                            <w:rFonts w:ascii="Tahoma" w:hAnsi="Tahoma" w:cs="Tahoma"/>
                            <w:b/>
                            <w:bCs/>
                            <w:color w:val="4E3487"/>
                            <w:sz w:val="28"/>
                            <w:szCs w:val="28"/>
                          </w:rPr>
                        </w:pPr>
                        <w:r w:rsidRPr="006971BB">
                          <w:rPr>
                            <w:rFonts w:ascii="Tahoma" w:hAnsi="Tahoma" w:cs="Tahoma"/>
                            <w:b/>
                            <w:bCs/>
                            <w:color w:val="4E3487"/>
                            <w:sz w:val="28"/>
                            <w:szCs w:val="28"/>
                          </w:rPr>
                          <w:t>Terms of service for DSPs change from today</w:t>
                        </w:r>
                      </w:p>
                      <w:p w14:paraId="709E4991" w14:textId="77777777" w:rsidR="006971BB" w:rsidRDefault="006971BB" w:rsidP="006971BB">
                        <w:pPr>
                          <w:pStyle w:val="NormalWeb"/>
                          <w:rPr>
                            <w:rFonts w:ascii="Tahoma" w:hAnsi="Tahoma" w:cs="Tahoma"/>
                            <w:color w:val="303030"/>
                            <w:sz w:val="21"/>
                            <w:szCs w:val="21"/>
                          </w:rPr>
                        </w:pPr>
                        <w:r>
                          <w:rPr>
                            <w:rFonts w:ascii="Tahoma" w:hAnsi="Tahoma" w:cs="Tahoma"/>
                            <w:color w:val="303030"/>
                            <w:sz w:val="21"/>
                            <w:szCs w:val="21"/>
                          </w:rPr>
                          <w:t>From today (1st April 2021), the NHS Terms of Service require </w:t>
                        </w:r>
                        <w:r>
                          <w:rPr>
                            <w:rStyle w:val="Strong"/>
                            <w:rFonts w:ascii="Tahoma" w:hAnsi="Tahoma" w:cs="Tahoma"/>
                            <w:color w:val="303030"/>
                            <w:sz w:val="21"/>
                            <w:szCs w:val="21"/>
                          </w:rPr>
                          <w:t>Distance Selling Pharmacies</w:t>
                        </w:r>
                        <w:r>
                          <w:rPr>
                            <w:rFonts w:ascii="Tahoma" w:hAnsi="Tahoma" w:cs="Tahoma"/>
                            <w:color w:val="303030"/>
                            <w:sz w:val="21"/>
                            <w:szCs w:val="21"/>
                          </w:rPr>
                          <w:t> (DSP) to have a </w:t>
                        </w:r>
                        <w:r>
                          <w:rPr>
                            <w:rStyle w:val="Strong"/>
                            <w:rFonts w:ascii="Tahoma" w:hAnsi="Tahoma" w:cs="Tahoma"/>
                            <w:color w:val="303030"/>
                            <w:sz w:val="21"/>
                            <w:szCs w:val="21"/>
                          </w:rPr>
                          <w:t>website which includes content promoting healthy lifestyles</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In November last year, the National Health Service (Charges and Pharmaceutical and Local Pharmaceutical Services) (Amendment) Regulations 2020 introduced new requirements detailed in fourteen </w:t>
                        </w:r>
                        <w:hyperlink r:id="rId10" w:tgtFrame="_blank" w:history="1">
                          <w:r>
                            <w:rPr>
                              <w:rStyle w:val="Hyperlink"/>
                              <w:rFonts w:ascii="Tahoma" w:hAnsi="Tahoma" w:cs="Tahoma"/>
                              <w:b/>
                              <w:bCs/>
                              <w:color w:val="4E3487"/>
                              <w:sz w:val="21"/>
                              <w:szCs w:val="21"/>
                            </w:rPr>
                            <w:t>PSNC Regs Explainer articles</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One set of changes concerned the Healthy Living Pharmacy Level 1 (HLP) requirements, specifically the promotion of healthy lifestyles. </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these Terms of Service changes for DSPs</w:t>
                          </w:r>
                        </w:hyperlink>
                      </w:p>
                      <w:p w14:paraId="03793910" w14:textId="77777777" w:rsidR="006971BB" w:rsidRPr="006971BB" w:rsidRDefault="006971BB" w:rsidP="006971BB">
                        <w:pPr>
                          <w:pStyle w:val="Heading3"/>
                          <w:spacing w:before="0" w:after="75" w:line="297" w:lineRule="atLeast"/>
                          <w:rPr>
                            <w:rFonts w:ascii="Tahoma" w:hAnsi="Tahoma" w:cs="Tahoma"/>
                            <w:b/>
                            <w:bCs/>
                            <w:color w:val="4E3487"/>
                            <w:sz w:val="28"/>
                            <w:szCs w:val="28"/>
                          </w:rPr>
                        </w:pPr>
                        <w:r w:rsidRPr="006971BB">
                          <w:rPr>
                            <w:rFonts w:ascii="Tahoma" w:hAnsi="Tahoma" w:cs="Tahoma"/>
                            <w:b/>
                            <w:bCs/>
                            <w:color w:val="4E3487"/>
                            <w:sz w:val="28"/>
                            <w:szCs w:val="28"/>
                          </w:rPr>
                          <w:t>Updated NHSE&amp;I letter on flu vaccines for 2021/22</w:t>
                        </w:r>
                      </w:p>
                      <w:p w14:paraId="5C8ED82D" w14:textId="77777777" w:rsidR="006971BB" w:rsidRDefault="006971BB" w:rsidP="006971BB">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Last week, NHS England and NHS Improvement (NHSE&amp;I) reported in its </w:t>
                        </w:r>
                        <w:hyperlink r:id="rId12" w:tgtFrame="_blank" w:history="1">
                          <w:r>
                            <w:rPr>
                              <w:rStyle w:val="Hyperlink"/>
                              <w:rFonts w:ascii="Tahoma" w:hAnsi="Tahoma" w:cs="Tahoma"/>
                              <w:b/>
                              <w:bCs/>
                              <w:color w:val="4E3487"/>
                              <w:sz w:val="21"/>
                              <w:szCs w:val="21"/>
                            </w:rPr>
                            <w:t>Primary Care Bulletin</w:t>
                          </w:r>
                        </w:hyperlink>
                        <w:r>
                          <w:rPr>
                            <w:rStyle w:val="Strong"/>
                            <w:rFonts w:ascii="Tahoma" w:hAnsi="Tahoma" w:cs="Tahoma"/>
                            <w:color w:val="303030"/>
                            <w:sz w:val="21"/>
                            <w:szCs w:val="21"/>
                          </w:rPr>
                          <w:t> </w:t>
                        </w:r>
                        <w:r>
                          <w:rPr>
                            <w:rFonts w:ascii="Tahoma" w:hAnsi="Tahoma" w:cs="Tahoma"/>
                            <w:color w:val="303030"/>
                            <w:sz w:val="21"/>
                            <w:szCs w:val="21"/>
                            <w:shd w:val="clear" w:color="auto" w:fill="FFFFFF"/>
                          </w:rPr>
                          <w:t>that 50 to 64 year olds would be included as an eligible cohort for the 2021/22 flu vaccination season.  </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 xml:space="preserve">Following this announcement, NHSE&amp;I has now published its updated flu reimbursement letter. The updated letter provides information on the flu vaccines which will be reimbursable under the 2021/22 Community Pharmacy Seasonal Influenza Vaccination </w:t>
                        </w:r>
                        <w:r>
                          <w:rPr>
                            <w:rFonts w:ascii="Tahoma" w:hAnsi="Tahoma" w:cs="Tahoma"/>
                            <w:color w:val="303030"/>
                            <w:sz w:val="21"/>
                            <w:szCs w:val="21"/>
                            <w:shd w:val="clear" w:color="auto" w:fill="FFFFFF"/>
                          </w:rPr>
                          <w:lastRenderedPageBreak/>
                          <w:t>Advanced Service (</w:t>
                        </w:r>
                        <w:hyperlink r:id="rId13" w:history="1">
                          <w:r>
                            <w:rPr>
                              <w:rStyle w:val="Strong"/>
                              <w:rFonts w:ascii="Tahoma" w:hAnsi="Tahoma" w:cs="Tahoma"/>
                              <w:color w:val="4E3487"/>
                              <w:sz w:val="21"/>
                              <w:szCs w:val="21"/>
                              <w:u w:val="single"/>
                            </w:rPr>
                            <w:t>Flu Vaccination Service</w:t>
                          </w:r>
                        </w:hyperlink>
                        <w:r>
                          <w:rPr>
                            <w:rFonts w:ascii="Tahoma" w:hAnsi="Tahoma" w:cs="Tahoma"/>
                            <w:color w:val="303030"/>
                            <w:sz w:val="21"/>
                            <w:szCs w:val="21"/>
                            <w:shd w:val="clear" w:color="auto" w:fill="FFFFFF"/>
                          </w:rPr>
                          <w:t xml:space="preserve">), for the three cohorts (65 years and over, 50-64s and at-risk adults aged 18-64). This includes the addition of another vaccine to those which will be reimbursable – </w:t>
                        </w:r>
                        <w:proofErr w:type="spellStart"/>
                        <w:r>
                          <w:rPr>
                            <w:rFonts w:ascii="Tahoma" w:hAnsi="Tahoma" w:cs="Tahoma"/>
                            <w:color w:val="303030"/>
                            <w:sz w:val="21"/>
                            <w:szCs w:val="21"/>
                            <w:shd w:val="clear" w:color="auto" w:fill="FFFFFF"/>
                          </w:rPr>
                          <w:t>QIVr</w:t>
                        </w:r>
                        <w:proofErr w:type="spellEnd"/>
                        <w:r>
                          <w:rPr>
                            <w:rFonts w:ascii="Tahoma" w:hAnsi="Tahoma" w:cs="Tahoma"/>
                            <w:color w:val="303030"/>
                            <w:sz w:val="21"/>
                            <w:szCs w:val="21"/>
                            <w:shd w:val="clear" w:color="auto" w:fill="FFFFFF"/>
                          </w:rPr>
                          <w:t xml:space="preserve"> (</w:t>
                        </w:r>
                        <w:proofErr w:type="spellStart"/>
                        <w:r>
                          <w:rPr>
                            <w:rFonts w:ascii="Tahoma" w:hAnsi="Tahoma" w:cs="Tahoma"/>
                            <w:color w:val="303030"/>
                            <w:sz w:val="21"/>
                            <w:szCs w:val="21"/>
                            <w:shd w:val="clear" w:color="auto" w:fill="FFFFFF"/>
                          </w:rPr>
                          <w:t>Supemtek</w:t>
                        </w:r>
                        <w:proofErr w:type="spellEnd"/>
                        <w:r>
                          <w:rPr>
                            <w:rFonts w:ascii="Tahoma" w:hAnsi="Tahoma" w:cs="Tahoma"/>
                            <w:color w:val="303030"/>
                            <w:sz w:val="21"/>
                            <w:szCs w:val="21"/>
                            <w:shd w:val="clear" w:color="auto" w:fill="FFFFFF"/>
                          </w:rPr>
                          <w:t>, Sanofi Pasteur).</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Read the updated NHSE&amp;I letter on flu vaccines for the 2021/22 season</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6F082D7B" w14:textId="77777777" w:rsidR="006971BB" w:rsidRPr="006971BB" w:rsidRDefault="006971BB" w:rsidP="006971BB">
                        <w:pPr>
                          <w:pStyle w:val="Heading3"/>
                          <w:spacing w:before="0" w:after="75" w:line="297" w:lineRule="atLeast"/>
                          <w:rPr>
                            <w:rFonts w:ascii="Tahoma" w:hAnsi="Tahoma" w:cs="Tahoma"/>
                            <w:b/>
                            <w:bCs/>
                            <w:color w:val="4E3487"/>
                            <w:sz w:val="28"/>
                            <w:szCs w:val="28"/>
                          </w:rPr>
                        </w:pPr>
                        <w:r w:rsidRPr="006971BB">
                          <w:rPr>
                            <w:rFonts w:ascii="Tahoma" w:hAnsi="Tahoma" w:cs="Tahoma"/>
                            <w:b/>
                            <w:bCs/>
                            <w:color w:val="4E3487"/>
                            <w:sz w:val="28"/>
                            <w:szCs w:val="28"/>
                          </w:rPr>
                          <w:t>35 products added to the April 2021 DND list</w:t>
                        </w:r>
                      </w:p>
                      <w:p w14:paraId="27C5C08B" w14:textId="77777777" w:rsidR="006971BB" w:rsidRDefault="006971BB" w:rsidP="006971BB">
                        <w:pPr>
                          <w:pStyle w:val="NormalWeb"/>
                          <w:jc w:val="both"/>
                          <w:rPr>
                            <w:rFonts w:ascii="Tahoma" w:hAnsi="Tahoma" w:cs="Tahoma"/>
                            <w:color w:val="303030"/>
                            <w:sz w:val="21"/>
                            <w:szCs w:val="21"/>
                          </w:rPr>
                        </w:pPr>
                        <w:r>
                          <w:rPr>
                            <w:rFonts w:ascii="Tahoma" w:hAnsi="Tahoma" w:cs="Tahoma"/>
                            <w:color w:val="303030"/>
                            <w:sz w:val="21"/>
                            <w:szCs w:val="21"/>
                          </w:rPr>
                          <w:t>Following applications made by PSNC to the Department of Health and Social Care (DHSC) and the NHS Business Services Authority (NHSBSA), a further </w:t>
                        </w:r>
                        <w:r>
                          <w:rPr>
                            <w:rStyle w:val="Strong"/>
                            <w:rFonts w:ascii="Tahoma" w:hAnsi="Tahoma" w:cs="Tahoma"/>
                            <w:color w:val="303030"/>
                            <w:sz w:val="21"/>
                            <w:szCs w:val="21"/>
                          </w:rPr>
                          <w:t>35 new products</w:t>
                        </w:r>
                        <w:r>
                          <w:rPr>
                            <w:rFonts w:ascii="Tahoma" w:hAnsi="Tahoma" w:cs="Tahoma"/>
                            <w:color w:val="303030"/>
                            <w:sz w:val="21"/>
                            <w:szCs w:val="21"/>
                          </w:rPr>
                          <w:t> will enter the list of ‘Drugs for which Discount is Not Deducted’ (DND) in Part II of the Drug Tariff from 1 April 2021. This takes the total number of products granted DND status over the past 12 months to over </w:t>
                        </w:r>
                        <w:r>
                          <w:rPr>
                            <w:rStyle w:val="Strong"/>
                            <w:rFonts w:ascii="Tahoma" w:hAnsi="Tahoma" w:cs="Tahoma"/>
                            <w:color w:val="303030"/>
                            <w:sz w:val="21"/>
                            <w:szCs w:val="21"/>
                          </w:rPr>
                          <w:t>300</w:t>
                        </w:r>
                        <w:r>
                          <w:rPr>
                            <w:rFonts w:ascii="Tahoma" w:hAnsi="Tahoma" w:cs="Tahoma"/>
                            <w:color w:val="303030"/>
                            <w:sz w:val="21"/>
                            <w:szCs w:val="21"/>
                          </w:rPr>
                          <w:t> following checks made by PSNC.</w:t>
                        </w:r>
                      </w:p>
                      <w:p w14:paraId="68786DE2" w14:textId="77777777" w:rsidR="006971BB" w:rsidRDefault="006971BB" w:rsidP="006971BB">
                        <w:pPr>
                          <w:pStyle w:val="NormalWeb"/>
                          <w:jc w:val="both"/>
                          <w:rPr>
                            <w:rFonts w:ascii="Tahoma" w:hAnsi="Tahoma" w:cs="Tahoma"/>
                            <w:color w:val="303030"/>
                            <w:sz w:val="21"/>
                            <w:szCs w:val="21"/>
                          </w:rPr>
                        </w:pPr>
                        <w:r>
                          <w:rPr>
                            <w:rFonts w:ascii="Tahoma" w:hAnsi="Tahoma" w:cs="Tahoma"/>
                            <w:color w:val="303030"/>
                            <w:sz w:val="21"/>
                            <w:szCs w:val="21"/>
                          </w:rPr>
                          <w:t xml:space="preserve">Domperidone 1mg/ml oral suspension sugar-free, </w:t>
                        </w:r>
                        <w:proofErr w:type="spellStart"/>
                        <w:r>
                          <w:rPr>
                            <w:rFonts w:ascii="Tahoma" w:hAnsi="Tahoma" w:cs="Tahoma"/>
                            <w:color w:val="303030"/>
                            <w:sz w:val="21"/>
                            <w:szCs w:val="21"/>
                          </w:rPr>
                          <w:t>Ongentys</w:t>
                        </w:r>
                        <w:proofErr w:type="spellEnd"/>
                        <w:r>
                          <w:rPr>
                            <w:rFonts w:ascii="Tahoma" w:hAnsi="Tahoma" w:cs="Tahoma"/>
                            <w:color w:val="303030"/>
                            <w:sz w:val="21"/>
                            <w:szCs w:val="21"/>
                          </w:rPr>
                          <w:t xml:space="preserve"> 50mg capsules, and </w:t>
                        </w:r>
                        <w:proofErr w:type="spellStart"/>
                        <w:r>
                          <w:rPr>
                            <w:rFonts w:ascii="Tahoma" w:hAnsi="Tahoma" w:cs="Tahoma"/>
                            <w:color w:val="303030"/>
                            <w:sz w:val="21"/>
                            <w:szCs w:val="21"/>
                          </w:rPr>
                          <w:t>Plenadren</w:t>
                        </w:r>
                        <w:proofErr w:type="spellEnd"/>
                        <w:r>
                          <w:rPr>
                            <w:rFonts w:ascii="Tahoma" w:hAnsi="Tahoma" w:cs="Tahoma"/>
                            <w:color w:val="303030"/>
                            <w:sz w:val="21"/>
                            <w:szCs w:val="21"/>
                          </w:rPr>
                          <w:t xml:space="preserve"> 5mg modified-release tablets are among the new products added to the DND list to which the discount deduction scale will no longer apply from April 2021.</w:t>
                        </w:r>
                      </w:p>
                      <w:p w14:paraId="6F1C6BB0" w14:textId="77777777" w:rsidR="006971BB" w:rsidRDefault="006971BB" w:rsidP="006971BB">
                        <w:pPr>
                          <w:rPr>
                            <w:rFonts w:ascii="Times New Roman" w:hAnsi="Times New Roman" w:cs="Times New Roman"/>
                          </w:rPr>
                        </w:pPr>
                        <w:hyperlink r:id="rId15" w:tgtFrame="_blank" w:history="1">
                          <w:r>
                            <w:rPr>
                              <w:rStyle w:val="Hyperlink"/>
                              <w:rFonts w:ascii="Tahoma" w:hAnsi="Tahoma" w:cs="Tahoma"/>
                              <w:b/>
                              <w:bCs/>
                              <w:color w:val="4E3487"/>
                              <w:sz w:val="21"/>
                              <w:szCs w:val="21"/>
                            </w:rPr>
                            <w:t>Learn about how discount deduction works</w:t>
                          </w:r>
                        </w:hyperlink>
                      </w:p>
                      <w:p w14:paraId="305C310E" w14:textId="77777777" w:rsidR="006971BB" w:rsidRPr="006971BB" w:rsidRDefault="006971BB" w:rsidP="006971BB">
                        <w:pPr>
                          <w:pStyle w:val="Heading3"/>
                          <w:spacing w:before="0" w:after="75" w:line="297" w:lineRule="atLeast"/>
                          <w:rPr>
                            <w:rFonts w:ascii="Tahoma" w:hAnsi="Tahoma" w:cs="Tahoma"/>
                            <w:b/>
                            <w:bCs/>
                            <w:color w:val="4E3487"/>
                          </w:rPr>
                        </w:pPr>
                        <w:r>
                          <w:rPr>
                            <w:rFonts w:ascii="Tahoma" w:hAnsi="Tahoma" w:cs="Tahoma"/>
                            <w:color w:val="4E3487"/>
                          </w:rPr>
                          <w:br/>
                        </w:r>
                        <w:r w:rsidRPr="006971BB">
                          <w:rPr>
                            <w:rFonts w:ascii="Tahoma" w:hAnsi="Tahoma" w:cs="Tahoma"/>
                            <w:b/>
                            <w:bCs/>
                            <w:color w:val="4E3487"/>
                            <w:sz w:val="28"/>
                            <w:szCs w:val="28"/>
                          </w:rPr>
                          <w:t>Contractor Notice: SSP010: Levothyroxine 12.5mcg tablets expiring</w:t>
                        </w:r>
                      </w:p>
                      <w:p w14:paraId="5BD2B223" w14:textId="77777777" w:rsidR="006971BB" w:rsidRDefault="006971BB" w:rsidP="006971BB">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DHSC has announced that sufficient stock of Levothyroxine 12.5mcg tablets is now available to supply normal demand; as a result, the </w:t>
                        </w:r>
                        <w:r>
                          <w:rPr>
                            <w:rStyle w:val="Strong"/>
                            <w:rFonts w:ascii="Tahoma" w:hAnsi="Tahoma" w:cs="Tahoma"/>
                            <w:color w:val="303030"/>
                            <w:sz w:val="21"/>
                            <w:szCs w:val="21"/>
                          </w:rPr>
                          <w:t>SSP010 for Levothyroxine 12.5mcg tablets expires at 23.59pm today.</w:t>
                        </w:r>
                        <w:r>
                          <w:rPr>
                            <w:rFonts w:ascii="Tahoma" w:hAnsi="Tahoma" w:cs="Tahoma"/>
                            <w:color w:val="303030"/>
                            <w:sz w:val="21"/>
                            <w:szCs w:val="21"/>
                          </w:rPr>
                          <w:br/>
                        </w:r>
                        <w:r>
                          <w:rPr>
                            <w:rFonts w:ascii="Tahoma" w:hAnsi="Tahoma" w:cs="Tahoma"/>
                            <w:color w:val="303030"/>
                            <w:sz w:val="21"/>
                            <w:szCs w:val="21"/>
                          </w:rPr>
                          <w:br/>
                        </w:r>
                        <w:hyperlink r:id="rId16" w:tgtFrame="_blank" w:history="1">
                          <w:r>
                            <w:rPr>
                              <w:rStyle w:val="Hyperlink"/>
                              <w:rFonts w:ascii="Tahoma" w:hAnsi="Tahoma" w:cs="Tahoma"/>
                              <w:b/>
                              <w:bCs/>
                              <w:color w:val="4E3487"/>
                              <w:sz w:val="21"/>
                              <w:szCs w:val="21"/>
                            </w:rPr>
                            <w:t>Learn more about this SSP</w:t>
                          </w:r>
                        </w:hyperlink>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7"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6"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F81B97"/>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4"/>
  </w:num>
  <w:num w:numId="4">
    <w:abstractNumId w:val="13"/>
  </w:num>
  <w:num w:numId="5">
    <w:abstractNumId w:val="3"/>
  </w:num>
  <w:num w:numId="6">
    <w:abstractNumId w:val="11"/>
  </w:num>
  <w:num w:numId="7">
    <w:abstractNumId w:val="10"/>
  </w:num>
  <w:num w:numId="8">
    <w:abstractNumId w:val="7"/>
  </w:num>
  <w:num w:numId="9">
    <w:abstractNumId w:val="12"/>
  </w:num>
  <w:num w:numId="10">
    <w:abstractNumId w:val="17"/>
  </w:num>
  <w:num w:numId="11">
    <w:abstractNumId w:val="8"/>
  </w:num>
  <w:num w:numId="12">
    <w:abstractNumId w:val="22"/>
  </w:num>
  <w:num w:numId="13">
    <w:abstractNumId w:val="4"/>
  </w:num>
  <w:num w:numId="14">
    <w:abstractNumId w:val="23"/>
  </w:num>
  <w:num w:numId="15">
    <w:abstractNumId w:val="25"/>
  </w:num>
  <w:num w:numId="16">
    <w:abstractNumId w:val="19"/>
  </w:num>
  <w:num w:numId="17">
    <w:abstractNumId w:val="20"/>
  </w:num>
  <w:num w:numId="18">
    <w:abstractNumId w:val="1"/>
  </w:num>
  <w:num w:numId="19">
    <w:abstractNumId w:val="9"/>
  </w:num>
  <w:num w:numId="20">
    <w:abstractNumId w:val="26"/>
  </w:num>
  <w:num w:numId="21">
    <w:abstractNumId w:val="16"/>
  </w:num>
  <w:num w:numId="22">
    <w:abstractNumId w:val="2"/>
  </w:num>
  <w:num w:numId="23">
    <w:abstractNumId w:val="14"/>
  </w:num>
  <w:num w:numId="24">
    <w:abstractNumId w:val="15"/>
  </w:num>
  <w:num w:numId="25">
    <w:abstractNumId w:val="18"/>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42807e647f&amp;e=12757307a1" TargetMode="External"/><Relationship Id="rId18" Type="http://schemas.openxmlformats.org/officeDocument/2006/relationships/hyperlink" Target="https://psnc.us7.list-manage.com/track/click?u=86d41ab7fa4c7c2c5d7210782&amp;id=0719e3152f&amp;e=d3dc5e7fbd" TargetMode="External"/><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fc7ae0b7ea&amp;e=12757307a1" TargetMode="External"/><Relationship Id="rId17" Type="http://schemas.openxmlformats.org/officeDocument/2006/relationships/hyperlink" Target="https://psnc.us7.list-manage.com/track/click?u=86d41ab7fa4c7c2c5d7210782&amp;id=b671e78d7a&amp;e=d3dc5e7fbd"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snc.us7.list-manage.com/track/click?u=86d41ab7fa4c7c2c5d7210782&amp;id=8cb7891d23&amp;e=12757307a1" TargetMode="External"/><Relationship Id="rId20" Type="http://schemas.openxmlformats.org/officeDocument/2006/relationships/hyperlink" Target="https://psnc.us7.list-manage.com/track/click?u=86d41ab7fa4c7c2c5d7210782&amp;id=9f085df2d1&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39fa8a420e&amp;e=12757307a1" TargetMode="External"/><Relationship Id="rId24" Type="http://schemas.openxmlformats.org/officeDocument/2006/relationships/hyperlink" Target="https://psnc.us7.list-manage.com/track/click?u=86d41ab7fa4c7c2c5d7210782&amp;id=b774bcfe37&amp;e=d3dc5e7fbd"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5a140a94a4&amp;e=12757307a1"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psnc.us7.list-manage.com/track/click?u=86d41ab7fa4c7c2c5d7210782&amp;id=fe5c1b4f91&amp;e=12757307a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2da1e65b33&amp;e=12757307a1" TargetMode="External"/><Relationship Id="rId14" Type="http://schemas.openxmlformats.org/officeDocument/2006/relationships/hyperlink" Target="https://psnc.us7.list-manage.com/track/click?u=86d41ab7fa4c7c2c5d7210782&amp;id=392a55ab9b&amp;e=12757307a1" TargetMode="External"/><Relationship Id="rId22" Type="http://schemas.openxmlformats.org/officeDocument/2006/relationships/hyperlink" Target="https://psnc.us7.list-manage.com/track/click?u=86d41ab7fa4c7c2c5d7210782&amp;id=3f47eea43b&amp;e=d3dc5e7fb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3073</Words>
  <Characters>17522</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2021-04-02T08:50:00Z</dcterms:created>
  <dcterms:modified xsi:type="dcterms:W3CDTF">2021-04-02T08:51:00Z</dcterms:modified>
</cp:coreProperties>
</file>