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A547A" w14:paraId="665B23C6" w14:textId="77777777" w:rsidTr="006A547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A547A" w14:paraId="352FE1D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A547A" w14:paraId="71D2ACFA" w14:textId="77777777">
                    <w:trPr>
                      <w:tblCellSpacing w:w="0" w:type="dxa"/>
                      <w:jc w:val="center"/>
                    </w:trPr>
                    <w:tc>
                      <w:tcPr>
                        <w:tcW w:w="3000" w:type="dxa"/>
                        <w:hideMark/>
                      </w:tcPr>
                      <w:p w14:paraId="615415BC" w14:textId="4099D399" w:rsidR="006A547A" w:rsidRDefault="006A547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A42F14D" w14:textId="77777777" w:rsidR="006A547A" w:rsidRDefault="006A547A">
                  <w:pPr>
                    <w:jc w:val="center"/>
                    <w:rPr>
                      <w:rFonts w:ascii="Times New Roman" w:eastAsia="Times New Roman" w:hAnsi="Times New Roman" w:cs="Times New Roman"/>
                      <w:sz w:val="20"/>
                      <w:szCs w:val="20"/>
                    </w:rPr>
                  </w:pPr>
                </w:p>
              </w:tc>
            </w:tr>
            <w:tr w:rsidR="006A547A" w14:paraId="7DD64A1C"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A547A" w14:paraId="7C10C71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16F760F" w14:textId="0B54FE0C" w:rsidR="006A547A" w:rsidRDefault="006A547A">
                        <w:pPr>
                          <w:jc w:val="center"/>
                          <w:rPr>
                            <w:rFonts w:eastAsia="Times New Roman"/>
                          </w:rPr>
                        </w:pPr>
                        <w:r>
                          <w:rPr>
                            <w:rFonts w:eastAsia="Times New Roman"/>
                            <w:noProof/>
                          </w:rPr>
                          <w:drawing>
                            <wp:inline distT="0" distB="0" distL="0" distR="0" wp14:anchorId="5191705D" wp14:editId="73F14E4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A547A" w14:paraId="05074D8B" w14:textId="77777777">
                    <w:trPr>
                      <w:tblCellSpacing w:w="0" w:type="dxa"/>
                    </w:trPr>
                    <w:tc>
                      <w:tcPr>
                        <w:tcW w:w="0" w:type="auto"/>
                        <w:vMerge/>
                        <w:tcBorders>
                          <w:top w:val="nil"/>
                          <w:left w:val="nil"/>
                          <w:bottom w:val="single" w:sz="2" w:space="0" w:color="FFFFFF"/>
                          <w:right w:val="nil"/>
                        </w:tcBorders>
                        <w:vAlign w:val="center"/>
                        <w:hideMark/>
                      </w:tcPr>
                      <w:p w14:paraId="2AB356B6" w14:textId="77777777" w:rsidR="006A547A" w:rsidRDefault="006A547A">
                        <w:pPr>
                          <w:rPr>
                            <w:rFonts w:eastAsia="Times New Roman"/>
                          </w:rPr>
                        </w:pPr>
                      </w:p>
                    </w:tc>
                    <w:tc>
                      <w:tcPr>
                        <w:tcW w:w="3450" w:type="dxa"/>
                        <w:tcBorders>
                          <w:top w:val="nil"/>
                          <w:left w:val="nil"/>
                          <w:bottom w:val="nil"/>
                          <w:right w:val="nil"/>
                        </w:tcBorders>
                        <w:vAlign w:val="center"/>
                        <w:hideMark/>
                      </w:tcPr>
                      <w:p w14:paraId="3D12605B" w14:textId="77777777" w:rsidR="006A547A" w:rsidRDefault="006A547A">
                        <w:pPr>
                          <w:pStyle w:val="Heading1"/>
                          <w:rPr>
                            <w:rFonts w:eastAsia="Times New Roman"/>
                          </w:rPr>
                        </w:pPr>
                        <w:r>
                          <w:rPr>
                            <w:rFonts w:eastAsia="Times New Roman"/>
                          </w:rPr>
                          <w:t>PSNC Newsletter</w:t>
                        </w:r>
                      </w:p>
                    </w:tc>
                  </w:tr>
                  <w:tr w:rsidR="006A547A" w14:paraId="655B8286" w14:textId="77777777">
                    <w:trPr>
                      <w:tblCellSpacing w:w="0" w:type="dxa"/>
                    </w:trPr>
                    <w:tc>
                      <w:tcPr>
                        <w:tcW w:w="0" w:type="auto"/>
                        <w:vMerge/>
                        <w:tcBorders>
                          <w:top w:val="nil"/>
                          <w:left w:val="nil"/>
                          <w:bottom w:val="single" w:sz="2" w:space="0" w:color="FFFFFF"/>
                          <w:right w:val="nil"/>
                        </w:tcBorders>
                        <w:vAlign w:val="center"/>
                        <w:hideMark/>
                      </w:tcPr>
                      <w:p w14:paraId="04366FBE" w14:textId="77777777" w:rsidR="006A547A" w:rsidRDefault="006A547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7697FE0" w14:textId="77777777" w:rsidR="006A547A" w:rsidRDefault="006A547A">
                        <w:pPr>
                          <w:pStyle w:val="Heading2"/>
                          <w:rPr>
                            <w:rFonts w:eastAsia="Times New Roman"/>
                            <w:color w:val="93378A"/>
                          </w:rPr>
                        </w:pPr>
                        <w:r>
                          <w:rPr>
                            <w:rFonts w:eastAsia="Times New Roman"/>
                            <w:color w:val="93378A"/>
                          </w:rPr>
                          <w:t>Wednesday 8th March 2023</w:t>
                        </w:r>
                      </w:p>
                    </w:tc>
                  </w:tr>
                </w:tbl>
                <w:p w14:paraId="02AB39D5" w14:textId="77777777" w:rsidR="006A547A" w:rsidRDefault="006A547A">
                  <w:pPr>
                    <w:rPr>
                      <w:rFonts w:ascii="Times New Roman" w:eastAsia="Times New Roman" w:hAnsi="Times New Roman" w:cs="Times New Roman"/>
                      <w:sz w:val="20"/>
                      <w:szCs w:val="20"/>
                    </w:rPr>
                  </w:pPr>
                </w:p>
              </w:tc>
            </w:tr>
            <w:tr w:rsidR="006A547A" w14:paraId="36A8641E" w14:textId="77777777">
              <w:tblPrEx>
                <w:shd w:val="clear" w:color="auto" w:fill="auto"/>
              </w:tblPrEx>
              <w:trPr>
                <w:tblCellSpacing w:w="0" w:type="dxa"/>
                <w:jc w:val="center"/>
              </w:trPr>
              <w:tc>
                <w:tcPr>
                  <w:tcW w:w="9000" w:type="dxa"/>
                  <w:hideMark/>
                </w:tcPr>
                <w:p w14:paraId="20E61B0C" w14:textId="5CDC01FE" w:rsidR="006A547A" w:rsidRDefault="006A547A">
                  <w:pPr>
                    <w:rPr>
                      <w:rFonts w:eastAsia="Times New Roman"/>
                    </w:rPr>
                  </w:pPr>
                  <w:r>
                    <w:rPr>
                      <w:rFonts w:eastAsia="Times New Roman"/>
                      <w:noProof/>
                    </w:rPr>
                    <w:drawing>
                      <wp:inline distT="0" distB="0" distL="0" distR="0" wp14:anchorId="53907D85" wp14:editId="12B8F6A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A547A" w14:paraId="39E992E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6A547A" w14:paraId="27A69213" w14:textId="77777777">
                    <w:trPr>
                      <w:trHeight w:val="150"/>
                      <w:tblCellSpacing w:w="15" w:type="dxa"/>
                      <w:jc w:val="center"/>
                    </w:trPr>
                    <w:tc>
                      <w:tcPr>
                        <w:tcW w:w="150" w:type="dxa"/>
                        <w:vAlign w:val="center"/>
                        <w:hideMark/>
                      </w:tcPr>
                      <w:p w14:paraId="751594AF" w14:textId="77777777" w:rsidR="006A547A" w:rsidRDefault="006A547A" w:rsidP="006A547A">
                        <w:pPr>
                          <w:spacing w:line="264" w:lineRule="auto"/>
                          <w:rPr>
                            <w:rFonts w:eastAsia="Times New Roman"/>
                          </w:rPr>
                        </w:pPr>
                      </w:p>
                    </w:tc>
                    <w:tc>
                      <w:tcPr>
                        <w:tcW w:w="8700" w:type="dxa"/>
                        <w:vAlign w:val="center"/>
                        <w:hideMark/>
                      </w:tcPr>
                      <w:p w14:paraId="57F5E9D8" w14:textId="77777777" w:rsidR="006A547A" w:rsidRDefault="006A547A" w:rsidP="006A547A">
                        <w:pPr>
                          <w:spacing w:line="264" w:lineRule="auto"/>
                          <w:rPr>
                            <w:rFonts w:ascii="Times New Roman" w:eastAsia="Times New Roman" w:hAnsi="Times New Roman" w:cs="Times New Roman"/>
                            <w:sz w:val="20"/>
                            <w:szCs w:val="20"/>
                          </w:rPr>
                        </w:pPr>
                      </w:p>
                    </w:tc>
                    <w:tc>
                      <w:tcPr>
                        <w:tcW w:w="150" w:type="dxa"/>
                        <w:vAlign w:val="center"/>
                        <w:hideMark/>
                      </w:tcPr>
                      <w:p w14:paraId="1018EF72" w14:textId="77777777" w:rsidR="006A547A" w:rsidRDefault="006A547A" w:rsidP="006A547A">
                        <w:pPr>
                          <w:spacing w:line="264" w:lineRule="auto"/>
                          <w:rPr>
                            <w:rFonts w:ascii="Times New Roman" w:eastAsia="Times New Roman" w:hAnsi="Times New Roman" w:cs="Times New Roman"/>
                            <w:sz w:val="20"/>
                            <w:szCs w:val="20"/>
                          </w:rPr>
                        </w:pPr>
                      </w:p>
                    </w:tc>
                  </w:tr>
                  <w:tr w:rsidR="006A547A" w14:paraId="7175ACC8" w14:textId="77777777">
                    <w:trPr>
                      <w:tblCellSpacing w:w="15" w:type="dxa"/>
                      <w:jc w:val="center"/>
                    </w:trPr>
                    <w:tc>
                      <w:tcPr>
                        <w:tcW w:w="150" w:type="dxa"/>
                        <w:vAlign w:val="center"/>
                        <w:hideMark/>
                      </w:tcPr>
                      <w:p w14:paraId="3C3EBC71" w14:textId="77777777" w:rsidR="006A547A" w:rsidRDefault="006A547A" w:rsidP="006A547A">
                        <w:pPr>
                          <w:spacing w:line="264" w:lineRule="auto"/>
                          <w:rPr>
                            <w:rFonts w:ascii="Times New Roman" w:eastAsia="Times New Roman" w:hAnsi="Times New Roman" w:cs="Times New Roman"/>
                            <w:sz w:val="20"/>
                            <w:szCs w:val="20"/>
                          </w:rPr>
                        </w:pPr>
                      </w:p>
                    </w:tc>
                    <w:tc>
                      <w:tcPr>
                        <w:tcW w:w="8700" w:type="dxa"/>
                        <w:vAlign w:val="center"/>
                        <w:hideMark/>
                      </w:tcPr>
                      <w:p w14:paraId="4DD01736"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3175C7E"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92C3A12">
                            <v:rect id="_x0000_i1032" style="width:468pt;height:1.5pt" o:hrstd="t" o:hr="t" fillcolor="#a0a0a0" stroked="f"/>
                          </w:pict>
                        </w:r>
                      </w:p>
                      <w:p w14:paraId="72441A7F" w14:textId="77777777" w:rsidR="006A547A" w:rsidRDefault="006A547A" w:rsidP="006A547A">
                        <w:pPr>
                          <w:pStyle w:val="Heading2"/>
                          <w:spacing w:after="0"/>
                          <w:rPr>
                            <w:rFonts w:eastAsia="Times New Roman"/>
                          </w:rPr>
                        </w:pPr>
                        <w:r>
                          <w:rPr>
                            <w:rFonts w:eastAsia="Times New Roman"/>
                          </w:rPr>
                          <w:t>In this update: Save Our Pharmacies campaign website launched; PSNC responds to GP Contract Imposition; national valproate audit reminder; PQS updates.</w:t>
                        </w:r>
                      </w:p>
                      <w:p w14:paraId="39B97A57"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0BCADD0">
                            <v:rect id="_x0000_i1033" style="width:468pt;height:1.5pt" o:hrstd="t" o:hr="t" fillcolor="#a0a0a0" stroked="f"/>
                          </w:pict>
                        </w:r>
                      </w:p>
                      <w:p w14:paraId="1B972D5B" w14:textId="77777777" w:rsidR="006A547A" w:rsidRDefault="006A547A" w:rsidP="006A547A">
                        <w:pPr>
                          <w:pStyle w:val="Heading2"/>
                          <w:spacing w:after="0"/>
                          <w:rPr>
                            <w:rFonts w:eastAsia="Times New Roman"/>
                          </w:rPr>
                        </w:pPr>
                        <w:r>
                          <w:rPr>
                            <w:rFonts w:eastAsia="Times New Roman"/>
                          </w:rPr>
                          <w:t xml:space="preserve">Pharmacy bodies launch Save Our Pharmacies campaign </w:t>
                        </w:r>
                        <w:proofErr w:type="gramStart"/>
                        <w:r>
                          <w:rPr>
                            <w:rFonts w:eastAsia="Times New Roman"/>
                          </w:rPr>
                          <w:t>website</w:t>
                        </w:r>
                        <w:proofErr w:type="gramEnd"/>
                      </w:p>
                      <w:p w14:paraId="11B3B60E" w14:textId="68576581"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Save Our Pharmacies campaign website has been created by leading national pharmacy bodies, to give new focus to calls for fair pharmacy funding in England.</w:t>
                        </w:r>
                      </w:p>
                      <w:p w14:paraId="7BDDE64B"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p>
                      <w:p w14:paraId="365C0131"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This is the latest output of a </w:t>
                        </w:r>
                        <w:hyperlink r:id="rId8" w:tgtFrame="_blank" w:history="1">
                          <w:r>
                            <w:rPr>
                              <w:rStyle w:val="Strong"/>
                              <w:rFonts w:ascii="Tahoma" w:hAnsi="Tahoma" w:cs="Tahoma"/>
                              <w:color w:val="4E3487"/>
                              <w:sz w:val="21"/>
                              <w:szCs w:val="21"/>
                            </w:rPr>
                            <w:t>joint programme of work</w:t>
                          </w:r>
                        </w:hyperlink>
                        <w:r>
                          <w:rPr>
                            <w:rFonts w:ascii="Tahoma" w:hAnsi="Tahoma" w:cs="Tahoma"/>
                            <w:color w:val="303030"/>
                            <w:sz w:val="21"/>
                            <w:szCs w:val="21"/>
                          </w:rPr>
                          <w:t> being coordinated by PSNC, CCA, AIM and the NPA. It comes the same day the group launched a new </w:t>
                        </w:r>
                        <w:hyperlink r:id="rId9" w:tgtFrame="_blank" w:history="1">
                          <w:r>
                            <w:rPr>
                              <w:rStyle w:val="Strong"/>
                              <w:rFonts w:ascii="Tahoma" w:hAnsi="Tahoma" w:cs="Tahoma"/>
                              <w:color w:val="4E3487"/>
                              <w:sz w:val="21"/>
                              <w:szCs w:val="21"/>
                            </w:rPr>
                            <w:t>public petition on the ’38 Degrees’ platform</w:t>
                          </w:r>
                        </w:hyperlink>
                        <w:r>
                          <w:rPr>
                            <w:rFonts w:ascii="Tahoma" w:hAnsi="Tahoma" w:cs="Tahoma"/>
                            <w:color w:val="303030"/>
                            <w:sz w:val="21"/>
                            <w:szCs w:val="21"/>
                          </w:rPr>
                          <w:t>, which calls for immediate, fair and sustained funding to safeguard NHS pharmacy services.</w:t>
                        </w:r>
                      </w:p>
                      <w:p w14:paraId="38B17BBB"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p>
                      <w:p w14:paraId="02A680EF" w14:textId="0AD8C2AF"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newly launched site contains key messages for public, politicians and stakeholders, and hosts campaign resources to be used by pharmacy teams.  It will undergo further development as the campaign progresses, with new resources added to ensure maximum public engagement.</w:t>
                        </w:r>
                      </w:p>
                      <w:p w14:paraId="59D038E7"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p>
                      <w:p w14:paraId="48ACF2EB" w14:textId="0BE48BB4"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 further resource in the form of a window poster is being printed and will shortly be mailed out to all community pharmacies in England.</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and visit the Save Our Pharmacies website</w:t>
                          </w:r>
                        </w:hyperlink>
                      </w:p>
                      <w:p w14:paraId="2DEFEDA7"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64E645">
                            <v:rect id="_x0000_i1034" style="width:468pt;height:1.5pt" o:hrstd="t" o:hr="t" fillcolor="#a0a0a0" stroked="f"/>
                          </w:pict>
                        </w:r>
                      </w:p>
                      <w:p w14:paraId="687CE6B3" w14:textId="77777777" w:rsidR="006A547A" w:rsidRDefault="006A547A" w:rsidP="006A547A">
                        <w:pPr>
                          <w:pStyle w:val="Heading2"/>
                          <w:spacing w:after="0"/>
                          <w:rPr>
                            <w:rFonts w:eastAsia="Times New Roman"/>
                          </w:rPr>
                        </w:pPr>
                        <w:r>
                          <w:rPr>
                            <w:rFonts w:eastAsia="Times New Roman"/>
                          </w:rPr>
                          <w:t>PSNC response to GP Contract Imposition</w:t>
                        </w:r>
                      </w:p>
                      <w:p w14:paraId="1AAB425D"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Chief Executive, Janet Morrison has issued the following statement in response to </w:t>
                        </w:r>
                        <w:hyperlink r:id="rId11" w:tgtFrame="_blank" w:history="1">
                          <w:r>
                            <w:rPr>
                              <w:rStyle w:val="Hyperlink"/>
                              <w:rFonts w:ascii="Tahoma" w:hAnsi="Tahoma" w:cs="Tahoma"/>
                              <w:b/>
                              <w:bCs/>
                              <w:color w:val="4E3487"/>
                              <w:sz w:val="21"/>
                              <w:szCs w:val="21"/>
                            </w:rPr>
                            <w:t>news that the GP contract for 2023/24 has been imposed</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"The breakdown in GP contract negotiations for the second year running is another blow for primary care. The verdict of the GP negotiators is that the demands being made of doctors by Government and the NHS are simply unreasonable. Community pharmacy is being treated with the same disregard: too much is being asked of us, with far too little funding available. The Government and NHS know from the analysis and warnings we are continuing to give them that they are on very dangerous ground with more and more pharmacies on the brink of financial collapse. We are working hard to influence the Primary </w:t>
                        </w:r>
                        <w:r>
                          <w:rPr>
                            <w:rFonts w:ascii="Tahoma" w:hAnsi="Tahoma" w:cs="Tahoma"/>
                            <w:color w:val="303030"/>
                            <w:sz w:val="21"/>
                            <w:szCs w:val="21"/>
                          </w:rPr>
                          <w:lastRenderedPageBreak/>
                          <w:t>Care Recovery Plan which must include a lifeline for pharmacies – if it doesn’t, then our General Practice colleagues and their patients can expect further crises ahead as pharmacy businesses continue to fail."</w:t>
                        </w:r>
                      </w:p>
                      <w:p w14:paraId="371D9B63"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E2B982">
                            <v:rect id="_x0000_i1035" style="width:468pt;height:1.5pt" o:hrstd="t" o:hr="t" fillcolor="#a0a0a0" stroked="f"/>
                          </w:pict>
                        </w:r>
                      </w:p>
                      <w:p w14:paraId="05DF0840" w14:textId="77777777" w:rsidR="006A547A" w:rsidRDefault="006A547A" w:rsidP="006A547A">
                        <w:pPr>
                          <w:pStyle w:val="Heading2"/>
                          <w:spacing w:after="0"/>
                          <w:rPr>
                            <w:rFonts w:eastAsia="Times New Roman"/>
                          </w:rPr>
                        </w:pPr>
                        <w:r>
                          <w:rPr>
                            <w:rFonts w:eastAsia="Times New Roman"/>
                          </w:rPr>
                          <w:t>Reminder: Have you submitted your national valproate audit 2022/23 data?</w:t>
                        </w:r>
                      </w:p>
                      <w:p w14:paraId="584C2636"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reminded that by 31st March 2023, they must have completed the 2022/23 national clinical audit on valproate over a six-week consecutive period, and have submitted the data via the Valproate audit 2022/23 tab on the Manage Your Service (MYS) portal.</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Find out more</w:t>
                          </w:r>
                        </w:hyperlink>
                      </w:p>
                      <w:p w14:paraId="7C62D0D6" w14:textId="77777777" w:rsidR="006A547A" w:rsidRDefault="006A547A" w:rsidP="006A547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F3A544">
                            <v:rect id="_x0000_i1036" style="width:468pt;height:1.5pt" o:hrstd="t" o:hr="t" fillcolor="#a0a0a0" stroked="f"/>
                          </w:pict>
                        </w:r>
                      </w:p>
                      <w:p w14:paraId="75F29F2B" w14:textId="77777777" w:rsidR="006A547A" w:rsidRDefault="006A547A" w:rsidP="006A547A">
                        <w:pPr>
                          <w:pStyle w:val="Heading2"/>
                          <w:spacing w:after="0"/>
                          <w:rPr>
                            <w:rFonts w:eastAsia="Times New Roman"/>
                          </w:rPr>
                        </w:pPr>
                        <w:r>
                          <w:rPr>
                            <w:rFonts w:eastAsia="Times New Roman"/>
                          </w:rPr>
                          <w:t>PQS Updates</w:t>
                        </w:r>
                      </w:p>
                      <w:p w14:paraId="77D13785" w14:textId="77777777" w:rsidR="006A547A" w:rsidRDefault="006A547A" w:rsidP="006A547A">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Updated NMS and antibiotic review data published</w:t>
                        </w:r>
                        <w:r>
                          <w:rPr>
                            <w:rFonts w:ascii="Tahoma" w:hAnsi="Tahoma" w:cs="Tahoma"/>
                            <w:color w:val="303030"/>
                            <w:sz w:val="21"/>
                            <w:szCs w:val="21"/>
                          </w:rPr>
                          <w:br/>
                          <w:t>The NHS Business Services Authority (NHSBSA) has updated its New Medicine Service (NMS) and antibiotic review spreadsheets for the Pharmacy Quality Scheme (PQS) 2022/23. </w:t>
                        </w:r>
                        <w:hyperlink r:id="rId13" w:tgtFrame="_blank" w:history="1">
                          <w:r>
                            <w:rPr>
                              <w:rStyle w:val="Strong"/>
                              <w:rFonts w:ascii="Tahoma" w:hAnsi="Tahoma" w:cs="Tahoma"/>
                              <w:color w:val="4E3487"/>
                              <w:sz w:val="21"/>
                              <w:szCs w:val="21"/>
                            </w:rPr>
                            <w:t>Learn more</w:t>
                          </w:r>
                        </w:hyperlink>
                        <w:r>
                          <w:rPr>
                            <w:rFonts w:ascii="Tahoma" w:hAnsi="Tahoma" w:cs="Tahoma"/>
                            <w:color w:val="303030"/>
                            <w:sz w:val="21"/>
                            <w:szCs w:val="21"/>
                          </w:rPr>
                          <w:t>.</w:t>
                        </w:r>
                      </w:p>
                      <w:p w14:paraId="0F27DD28" w14:textId="77777777" w:rsidR="006A547A" w:rsidRDefault="006A547A" w:rsidP="006A547A">
                        <w:pPr>
                          <w:pStyle w:val="NormalWeb"/>
                          <w:spacing w:before="0" w:beforeAutospacing="0" w:after="0" w:afterAutospacing="0" w:line="264" w:lineRule="auto"/>
                          <w:rPr>
                            <w:rStyle w:val="Strong"/>
                            <w:rFonts w:ascii="Tahoma" w:hAnsi="Tahoma" w:cs="Tahoma"/>
                            <w:color w:val="303030"/>
                            <w:sz w:val="21"/>
                            <w:szCs w:val="21"/>
                          </w:rPr>
                        </w:pPr>
                      </w:p>
                      <w:p w14:paraId="304BCFBF" w14:textId="2423DED2" w:rsidR="006A547A" w:rsidRDefault="006A547A" w:rsidP="006A547A">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Data on NHS DWMP referrals published</w:t>
                        </w:r>
                        <w:r>
                          <w:rPr>
                            <w:rFonts w:ascii="Tahoma" w:hAnsi="Tahoma" w:cs="Tahoma"/>
                            <w:color w:val="303030"/>
                            <w:sz w:val="21"/>
                            <w:szCs w:val="21"/>
                          </w:rPr>
                          <w:br/>
                          <w:t>The NHSBSA has also published a spreadsheet showing which community pharmacy contractors have made a referral to the NHS Digital Weight Management Programme (DWMP) as part of the 2022/23 PQS. </w:t>
                        </w:r>
                        <w:hyperlink r:id="rId14" w:tgtFrame="_blank" w:history="1">
                          <w:r>
                            <w:rPr>
                              <w:rStyle w:val="Strong"/>
                              <w:rFonts w:ascii="Tahoma" w:hAnsi="Tahoma" w:cs="Tahoma"/>
                              <w:color w:val="4E3487"/>
                              <w:sz w:val="21"/>
                              <w:szCs w:val="21"/>
                            </w:rPr>
                            <w:t>Learn more</w:t>
                          </w:r>
                        </w:hyperlink>
                        <w:r>
                          <w:rPr>
                            <w:rFonts w:ascii="Tahoma" w:hAnsi="Tahoma" w:cs="Tahoma"/>
                            <w:color w:val="303030"/>
                            <w:sz w:val="21"/>
                            <w:szCs w:val="21"/>
                          </w:rPr>
                          <w:t>.</w:t>
                        </w:r>
                      </w:p>
                    </w:tc>
                    <w:tc>
                      <w:tcPr>
                        <w:tcW w:w="150" w:type="dxa"/>
                        <w:vAlign w:val="center"/>
                        <w:hideMark/>
                      </w:tcPr>
                      <w:p w14:paraId="676D918D" w14:textId="77777777" w:rsidR="006A547A" w:rsidRDefault="006A547A" w:rsidP="006A547A">
                        <w:pPr>
                          <w:spacing w:line="264" w:lineRule="auto"/>
                          <w:rPr>
                            <w:rFonts w:ascii="Tahoma" w:hAnsi="Tahoma" w:cs="Tahoma"/>
                            <w:color w:val="303030"/>
                            <w:sz w:val="21"/>
                            <w:szCs w:val="21"/>
                          </w:rPr>
                        </w:pPr>
                      </w:p>
                    </w:tc>
                  </w:tr>
                  <w:tr w:rsidR="006A547A" w14:paraId="31DC5DE6" w14:textId="77777777">
                    <w:trPr>
                      <w:trHeight w:val="150"/>
                      <w:tblCellSpacing w:w="15" w:type="dxa"/>
                      <w:jc w:val="center"/>
                    </w:trPr>
                    <w:tc>
                      <w:tcPr>
                        <w:tcW w:w="150" w:type="dxa"/>
                        <w:vAlign w:val="center"/>
                        <w:hideMark/>
                      </w:tcPr>
                      <w:p w14:paraId="4A725756" w14:textId="77777777" w:rsidR="006A547A" w:rsidRDefault="006A547A" w:rsidP="006A547A">
                        <w:pPr>
                          <w:spacing w:line="264" w:lineRule="auto"/>
                          <w:rPr>
                            <w:rFonts w:ascii="Times New Roman" w:eastAsia="Times New Roman" w:hAnsi="Times New Roman" w:cs="Times New Roman"/>
                            <w:sz w:val="20"/>
                            <w:szCs w:val="20"/>
                          </w:rPr>
                        </w:pPr>
                      </w:p>
                    </w:tc>
                    <w:tc>
                      <w:tcPr>
                        <w:tcW w:w="8700" w:type="dxa"/>
                        <w:vAlign w:val="center"/>
                        <w:hideMark/>
                      </w:tcPr>
                      <w:p w14:paraId="1F8D60A0" w14:textId="77777777" w:rsidR="006A547A" w:rsidRDefault="006A547A" w:rsidP="006A547A">
                        <w:pPr>
                          <w:spacing w:line="264" w:lineRule="auto"/>
                          <w:rPr>
                            <w:rFonts w:ascii="Times New Roman" w:eastAsia="Times New Roman" w:hAnsi="Times New Roman" w:cs="Times New Roman"/>
                            <w:sz w:val="20"/>
                            <w:szCs w:val="20"/>
                          </w:rPr>
                        </w:pPr>
                      </w:p>
                    </w:tc>
                    <w:tc>
                      <w:tcPr>
                        <w:tcW w:w="150" w:type="dxa"/>
                        <w:vAlign w:val="center"/>
                        <w:hideMark/>
                      </w:tcPr>
                      <w:p w14:paraId="0DC0A090" w14:textId="77777777" w:rsidR="006A547A" w:rsidRDefault="006A547A" w:rsidP="006A547A">
                        <w:pPr>
                          <w:spacing w:line="264" w:lineRule="auto"/>
                          <w:rPr>
                            <w:rFonts w:ascii="Times New Roman" w:eastAsia="Times New Roman" w:hAnsi="Times New Roman" w:cs="Times New Roman"/>
                            <w:sz w:val="20"/>
                            <w:szCs w:val="20"/>
                          </w:rPr>
                        </w:pPr>
                      </w:p>
                    </w:tc>
                  </w:tr>
                </w:tbl>
                <w:p w14:paraId="6E0B1320" w14:textId="77777777" w:rsidR="006A547A" w:rsidRDefault="006A547A" w:rsidP="006A547A">
                  <w:pPr>
                    <w:spacing w:line="264" w:lineRule="auto"/>
                    <w:rPr>
                      <w:rFonts w:ascii="Times New Roman" w:eastAsia="Times New Roman" w:hAnsi="Times New Roman" w:cs="Times New Roman"/>
                      <w:sz w:val="20"/>
                      <w:szCs w:val="20"/>
                    </w:rPr>
                  </w:pPr>
                </w:p>
              </w:tc>
            </w:tr>
          </w:tbl>
          <w:p w14:paraId="50B5B7DB" w14:textId="77777777" w:rsidR="006A547A" w:rsidRDefault="006A547A">
            <w:pPr>
              <w:jc w:val="center"/>
              <w:rPr>
                <w:rFonts w:ascii="Times New Roman" w:eastAsia="Times New Roman" w:hAnsi="Times New Roman" w:cs="Times New Roman"/>
                <w:sz w:val="20"/>
                <w:szCs w:val="20"/>
              </w:rPr>
            </w:pPr>
          </w:p>
        </w:tc>
      </w:tr>
      <w:tr w:rsidR="006A547A" w14:paraId="3803B175" w14:textId="77777777" w:rsidTr="006A547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A547A" w14:paraId="14868FA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A547A" w14:paraId="04F4400F" w14:textId="77777777">
                    <w:trPr>
                      <w:tblCellSpacing w:w="0" w:type="dxa"/>
                      <w:jc w:val="center"/>
                    </w:trPr>
                    <w:tc>
                      <w:tcPr>
                        <w:tcW w:w="3000" w:type="dxa"/>
                        <w:tcMar>
                          <w:top w:w="30" w:type="dxa"/>
                          <w:left w:w="75" w:type="dxa"/>
                          <w:bottom w:w="30" w:type="dxa"/>
                          <w:right w:w="75" w:type="dxa"/>
                        </w:tcMar>
                        <w:hideMark/>
                      </w:tcPr>
                      <w:p w14:paraId="51784D41" w14:textId="77777777" w:rsidR="006A547A" w:rsidRDefault="006A547A">
                        <w:pPr>
                          <w:pStyle w:val="Heading4"/>
                          <w:jc w:val="center"/>
                          <w:rPr>
                            <w:rFonts w:eastAsia="Times New Roman"/>
                          </w:rPr>
                        </w:pPr>
                        <w:r>
                          <w:rPr>
                            <w:rFonts w:eastAsia="Times New Roman"/>
                          </w:rPr>
                          <w:lastRenderedPageBreak/>
                          <w:t>Pharmaceutical Services Negotiating Committee</w:t>
                        </w:r>
                      </w:p>
                      <w:p w14:paraId="0F3886CA" w14:textId="5CCB73C4" w:rsidR="006A547A" w:rsidRDefault="006A547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817F0E6" wp14:editId="55B00562">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981A787" wp14:editId="0D2A0850">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04EF88" wp14:editId="01AF2E49">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664099" wp14:editId="688B3E7D">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697B480" w14:textId="77777777" w:rsidR="006A547A" w:rsidRDefault="006A547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A547A" w14:paraId="211462CD" w14:textId="77777777" w:rsidTr="006A547A">
                    <w:trPr>
                      <w:trHeight w:val="64"/>
                      <w:tblCellSpacing w:w="0" w:type="dxa"/>
                      <w:jc w:val="center"/>
                    </w:trPr>
                    <w:tc>
                      <w:tcPr>
                        <w:tcW w:w="9000" w:type="dxa"/>
                        <w:tcMar>
                          <w:top w:w="150" w:type="dxa"/>
                          <w:left w:w="0" w:type="dxa"/>
                          <w:bottom w:w="0" w:type="dxa"/>
                          <w:right w:w="0" w:type="dxa"/>
                        </w:tcMar>
                        <w:vAlign w:val="center"/>
                        <w:hideMark/>
                      </w:tcPr>
                      <w:p w14:paraId="294A43B6" w14:textId="57FAD5A8" w:rsidR="006A547A" w:rsidRDefault="006A547A" w:rsidP="006A547A">
                        <w:pPr>
                          <w:rPr>
                            <w:rFonts w:ascii="Arial" w:eastAsia="Times New Roman" w:hAnsi="Arial" w:cs="Arial"/>
                            <w:color w:val="FFFFFF"/>
                            <w:sz w:val="17"/>
                            <w:szCs w:val="17"/>
                          </w:rPr>
                        </w:pPr>
                      </w:p>
                    </w:tc>
                  </w:tr>
                </w:tbl>
                <w:p w14:paraId="261F2977" w14:textId="77777777" w:rsidR="006A547A" w:rsidRDefault="006A547A">
                  <w:pPr>
                    <w:jc w:val="center"/>
                    <w:rPr>
                      <w:rFonts w:ascii="Times New Roman" w:eastAsia="Times New Roman" w:hAnsi="Times New Roman" w:cs="Times New Roman"/>
                      <w:sz w:val="20"/>
                      <w:szCs w:val="20"/>
                    </w:rPr>
                  </w:pPr>
                </w:p>
              </w:tc>
            </w:tr>
          </w:tbl>
          <w:p w14:paraId="0941AFD8" w14:textId="77777777" w:rsidR="006A547A" w:rsidRDefault="006A547A">
            <w:pPr>
              <w:jc w:val="center"/>
              <w:rPr>
                <w:rFonts w:ascii="Times New Roman" w:eastAsia="Times New Roman" w:hAnsi="Times New Roman" w:cs="Times New Roman"/>
                <w:sz w:val="20"/>
                <w:szCs w:val="20"/>
              </w:rPr>
            </w:pPr>
          </w:p>
        </w:tc>
      </w:tr>
    </w:tbl>
    <w:p w14:paraId="00BBB3FE" w14:textId="568B6718" w:rsidR="006A547A" w:rsidRDefault="006A547A" w:rsidP="006A547A">
      <w:pPr>
        <w:rPr>
          <w:rFonts w:eastAsia="Times New Roman"/>
        </w:rPr>
      </w:pPr>
      <w:r>
        <w:rPr>
          <w:rFonts w:eastAsia="Times New Roman"/>
          <w:noProof/>
        </w:rPr>
        <w:drawing>
          <wp:inline distT="0" distB="0" distL="0" distR="0" wp14:anchorId="53C901BA" wp14:editId="30C6D2A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73D39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7A"/>
    <w:rsid w:val="006A547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9447"/>
  <w15:chartTrackingRefBased/>
  <w15:docId w15:val="{0C374BAF-6957-44E5-8DAB-5DB04A8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47A"/>
    <w:rPr>
      <w:rFonts w:ascii="Calibri" w:hAnsi="Calibri" w:cs="Calibri"/>
      <w:lang w:eastAsia="en-GB"/>
    </w:rPr>
  </w:style>
  <w:style w:type="paragraph" w:styleId="Heading1">
    <w:name w:val="heading 1"/>
    <w:basedOn w:val="Normal"/>
    <w:link w:val="Heading1Char"/>
    <w:uiPriority w:val="9"/>
    <w:qFormat/>
    <w:rsid w:val="006A547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A547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6A547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47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A547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6A547A"/>
    <w:rPr>
      <w:rFonts w:ascii="Tahoma" w:hAnsi="Tahoma" w:cs="Tahoma"/>
      <w:b/>
      <w:bCs/>
      <w:color w:val="FFFFFF"/>
      <w:sz w:val="18"/>
      <w:szCs w:val="18"/>
      <w:lang w:eastAsia="en-GB"/>
    </w:rPr>
  </w:style>
  <w:style w:type="paragraph" w:styleId="NormalWeb">
    <w:name w:val="Normal (Web)"/>
    <w:basedOn w:val="Normal"/>
    <w:uiPriority w:val="99"/>
    <w:semiHidden/>
    <w:unhideWhenUsed/>
    <w:rsid w:val="006A547A"/>
    <w:pPr>
      <w:spacing w:before="100" w:beforeAutospacing="1" w:after="100" w:afterAutospacing="1"/>
    </w:pPr>
  </w:style>
  <w:style w:type="character" w:styleId="Strong">
    <w:name w:val="Strong"/>
    <w:basedOn w:val="DefaultParagraphFont"/>
    <w:uiPriority w:val="22"/>
    <w:qFormat/>
    <w:rsid w:val="006A547A"/>
    <w:rPr>
      <w:b/>
      <w:bCs/>
    </w:rPr>
  </w:style>
  <w:style w:type="character" w:styleId="Hyperlink">
    <w:name w:val="Hyperlink"/>
    <w:basedOn w:val="DefaultParagraphFont"/>
    <w:uiPriority w:val="99"/>
    <w:semiHidden/>
    <w:unhideWhenUsed/>
    <w:rsid w:val="006A5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82af7ba78&amp;e=d19e9fd41c" TargetMode="External"/><Relationship Id="rId13" Type="http://schemas.openxmlformats.org/officeDocument/2006/relationships/hyperlink" Target="https://psnc.us7.list-manage.com/track/click?u=86d41ab7fa4c7c2c5d7210782&amp;id=4f6d8ac1a9&amp;e=d19e9fd41c" TargetMode="External"/><Relationship Id="rId18" Type="http://schemas.openxmlformats.org/officeDocument/2006/relationships/hyperlink" Target="https://psnc.us7.list-manage.com/track/click?u=86d41ab7fa4c7c2c5d7210782&amp;id=8b6800d61f&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cd63bcf512&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76d96eb4f&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6ceb65b413&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ca76e3d77&amp;e=d19e9fd41c" TargetMode="External"/><Relationship Id="rId24" Type="http://schemas.openxmlformats.org/officeDocument/2006/relationships/hyperlink" Target="https://psnc.us7.list-manage.com/track/click?u=86d41ab7fa4c7c2c5d7210782&amp;id=9d725405bd&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212a3b21d&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3cc3ecf6fb&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d1b1fd1b79&amp;e=d19e9fd41c" TargetMode="External"/><Relationship Id="rId14" Type="http://schemas.openxmlformats.org/officeDocument/2006/relationships/hyperlink" Target="https://psnc.us7.list-manage.com/track/click?u=86d41ab7fa4c7c2c5d7210782&amp;id=73659b71bd&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2023-03-09T08:33:00Z</dcterms:created>
  <dcterms:modified xsi:type="dcterms:W3CDTF">2023-03-09T08:35:00Z</dcterms:modified>
</cp:coreProperties>
</file>