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85381" w14:paraId="252BE242" w14:textId="77777777" w:rsidTr="00E85381">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85381" w14:paraId="1976397D"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85381" w14:paraId="3D0CB528" w14:textId="77777777">
                    <w:trPr>
                      <w:tblCellSpacing w:w="0" w:type="dxa"/>
                      <w:jc w:val="center"/>
                    </w:trPr>
                    <w:tc>
                      <w:tcPr>
                        <w:tcW w:w="3000" w:type="dxa"/>
                        <w:hideMark/>
                      </w:tcPr>
                      <w:p w14:paraId="3587FD49" w14:textId="43947A9A" w:rsidR="00E85381" w:rsidRDefault="00E85381">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B8E9EFE" w14:textId="77777777" w:rsidR="00E85381" w:rsidRDefault="00E85381">
                  <w:pPr>
                    <w:jc w:val="center"/>
                    <w:rPr>
                      <w:rFonts w:ascii="Times New Roman" w:eastAsia="Times New Roman" w:hAnsi="Times New Roman" w:cs="Times New Roman"/>
                      <w:sz w:val="20"/>
                      <w:szCs w:val="20"/>
                    </w:rPr>
                  </w:pPr>
                </w:p>
              </w:tc>
            </w:tr>
            <w:tr w:rsidR="00E85381" w14:paraId="6C39306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85381" w14:paraId="43F3D6EE"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C70F1A9" w14:textId="15B35E78" w:rsidR="00E85381" w:rsidRDefault="00E85381">
                        <w:pPr>
                          <w:jc w:val="center"/>
                          <w:rPr>
                            <w:rFonts w:eastAsia="Times New Roman"/>
                          </w:rPr>
                        </w:pPr>
                        <w:r>
                          <w:rPr>
                            <w:rFonts w:eastAsia="Times New Roman"/>
                            <w:noProof/>
                          </w:rPr>
                          <w:drawing>
                            <wp:inline distT="0" distB="0" distL="0" distR="0" wp14:anchorId="2E84A2D8" wp14:editId="278ADFA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85381" w14:paraId="2E9B905D" w14:textId="77777777">
                    <w:trPr>
                      <w:tblCellSpacing w:w="0" w:type="dxa"/>
                    </w:trPr>
                    <w:tc>
                      <w:tcPr>
                        <w:tcW w:w="0" w:type="auto"/>
                        <w:vMerge/>
                        <w:tcBorders>
                          <w:top w:val="nil"/>
                          <w:left w:val="nil"/>
                          <w:bottom w:val="single" w:sz="2" w:space="0" w:color="FFFFFF"/>
                          <w:right w:val="nil"/>
                        </w:tcBorders>
                        <w:vAlign w:val="center"/>
                        <w:hideMark/>
                      </w:tcPr>
                      <w:p w14:paraId="7C895015" w14:textId="77777777" w:rsidR="00E85381" w:rsidRDefault="00E85381">
                        <w:pPr>
                          <w:rPr>
                            <w:rFonts w:eastAsia="Times New Roman"/>
                          </w:rPr>
                        </w:pPr>
                      </w:p>
                    </w:tc>
                    <w:tc>
                      <w:tcPr>
                        <w:tcW w:w="3450" w:type="dxa"/>
                        <w:tcBorders>
                          <w:top w:val="nil"/>
                          <w:left w:val="nil"/>
                          <w:bottom w:val="nil"/>
                          <w:right w:val="nil"/>
                        </w:tcBorders>
                        <w:vAlign w:val="center"/>
                        <w:hideMark/>
                      </w:tcPr>
                      <w:p w14:paraId="3AD23DD9" w14:textId="77777777" w:rsidR="00E85381" w:rsidRDefault="00E85381">
                        <w:pPr>
                          <w:pStyle w:val="Heading1"/>
                          <w:rPr>
                            <w:rFonts w:eastAsia="Times New Roman"/>
                          </w:rPr>
                        </w:pPr>
                        <w:r>
                          <w:rPr>
                            <w:rFonts w:eastAsia="Times New Roman"/>
                          </w:rPr>
                          <w:t>PSNC Newsletter</w:t>
                        </w:r>
                      </w:p>
                    </w:tc>
                  </w:tr>
                  <w:tr w:rsidR="00E85381" w14:paraId="228D997C" w14:textId="77777777">
                    <w:trPr>
                      <w:tblCellSpacing w:w="0" w:type="dxa"/>
                    </w:trPr>
                    <w:tc>
                      <w:tcPr>
                        <w:tcW w:w="0" w:type="auto"/>
                        <w:vMerge/>
                        <w:tcBorders>
                          <w:top w:val="nil"/>
                          <w:left w:val="nil"/>
                          <w:bottom w:val="single" w:sz="2" w:space="0" w:color="FFFFFF"/>
                          <w:right w:val="nil"/>
                        </w:tcBorders>
                        <w:vAlign w:val="center"/>
                        <w:hideMark/>
                      </w:tcPr>
                      <w:p w14:paraId="20FE1428" w14:textId="77777777" w:rsidR="00E85381" w:rsidRDefault="00E85381">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E580A3D" w14:textId="77777777" w:rsidR="00E85381" w:rsidRDefault="00E85381">
                        <w:pPr>
                          <w:pStyle w:val="Heading2"/>
                          <w:rPr>
                            <w:rFonts w:eastAsia="Times New Roman"/>
                            <w:color w:val="93378A"/>
                          </w:rPr>
                        </w:pPr>
                        <w:r>
                          <w:rPr>
                            <w:rFonts w:eastAsia="Times New Roman"/>
                            <w:color w:val="93378A"/>
                          </w:rPr>
                          <w:t>Wednesday 21st December 2022</w:t>
                        </w:r>
                      </w:p>
                    </w:tc>
                  </w:tr>
                </w:tbl>
                <w:p w14:paraId="2D45DCED" w14:textId="77777777" w:rsidR="00E85381" w:rsidRDefault="00E85381">
                  <w:pPr>
                    <w:rPr>
                      <w:rFonts w:ascii="Times New Roman" w:eastAsia="Times New Roman" w:hAnsi="Times New Roman" w:cs="Times New Roman"/>
                      <w:sz w:val="20"/>
                      <w:szCs w:val="20"/>
                    </w:rPr>
                  </w:pPr>
                </w:p>
              </w:tc>
            </w:tr>
            <w:tr w:rsidR="00E85381" w14:paraId="10AABDAC" w14:textId="77777777">
              <w:tblPrEx>
                <w:shd w:val="clear" w:color="auto" w:fill="auto"/>
              </w:tblPrEx>
              <w:trPr>
                <w:tblCellSpacing w:w="0" w:type="dxa"/>
                <w:jc w:val="center"/>
              </w:trPr>
              <w:tc>
                <w:tcPr>
                  <w:tcW w:w="9000" w:type="dxa"/>
                  <w:hideMark/>
                </w:tcPr>
                <w:p w14:paraId="690219F5" w14:textId="7273E565" w:rsidR="00E85381" w:rsidRDefault="00E85381">
                  <w:pPr>
                    <w:rPr>
                      <w:rFonts w:eastAsia="Times New Roman"/>
                    </w:rPr>
                  </w:pPr>
                  <w:r>
                    <w:rPr>
                      <w:rFonts w:eastAsia="Times New Roman"/>
                      <w:noProof/>
                    </w:rPr>
                    <w:drawing>
                      <wp:inline distT="0" distB="0" distL="0" distR="0" wp14:anchorId="31681323" wp14:editId="573DA1C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85381" w14:paraId="77AAF6E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E85381" w14:paraId="072B2EDA" w14:textId="77777777">
                    <w:trPr>
                      <w:trHeight w:val="150"/>
                      <w:tblCellSpacing w:w="15" w:type="dxa"/>
                      <w:jc w:val="center"/>
                    </w:trPr>
                    <w:tc>
                      <w:tcPr>
                        <w:tcW w:w="150" w:type="dxa"/>
                        <w:vAlign w:val="center"/>
                        <w:hideMark/>
                      </w:tcPr>
                      <w:p w14:paraId="013B3805" w14:textId="77777777" w:rsidR="00E85381" w:rsidRDefault="00E85381">
                        <w:pPr>
                          <w:rPr>
                            <w:rFonts w:eastAsia="Times New Roman"/>
                          </w:rPr>
                        </w:pPr>
                      </w:p>
                    </w:tc>
                    <w:tc>
                      <w:tcPr>
                        <w:tcW w:w="8700" w:type="dxa"/>
                        <w:vAlign w:val="center"/>
                        <w:hideMark/>
                      </w:tcPr>
                      <w:p w14:paraId="57E0C4B3" w14:textId="77777777" w:rsidR="00E85381" w:rsidRDefault="00E85381">
                        <w:pPr>
                          <w:rPr>
                            <w:rFonts w:ascii="Times New Roman" w:eastAsia="Times New Roman" w:hAnsi="Times New Roman" w:cs="Times New Roman"/>
                            <w:sz w:val="20"/>
                            <w:szCs w:val="20"/>
                          </w:rPr>
                        </w:pPr>
                      </w:p>
                    </w:tc>
                    <w:tc>
                      <w:tcPr>
                        <w:tcW w:w="150" w:type="dxa"/>
                        <w:vAlign w:val="center"/>
                        <w:hideMark/>
                      </w:tcPr>
                      <w:p w14:paraId="64E6D94C" w14:textId="77777777" w:rsidR="00E85381" w:rsidRDefault="00E85381">
                        <w:pPr>
                          <w:rPr>
                            <w:rFonts w:ascii="Times New Roman" w:eastAsia="Times New Roman" w:hAnsi="Times New Roman" w:cs="Times New Roman"/>
                            <w:sz w:val="20"/>
                            <w:szCs w:val="20"/>
                          </w:rPr>
                        </w:pPr>
                      </w:p>
                    </w:tc>
                  </w:tr>
                  <w:tr w:rsidR="00E85381" w14:paraId="5B90B6FF" w14:textId="77777777">
                    <w:trPr>
                      <w:tblCellSpacing w:w="15" w:type="dxa"/>
                      <w:jc w:val="center"/>
                    </w:trPr>
                    <w:tc>
                      <w:tcPr>
                        <w:tcW w:w="150" w:type="dxa"/>
                        <w:vAlign w:val="center"/>
                        <w:hideMark/>
                      </w:tcPr>
                      <w:p w14:paraId="1EB10670" w14:textId="77777777" w:rsidR="00E85381" w:rsidRDefault="00E85381">
                        <w:pPr>
                          <w:rPr>
                            <w:rFonts w:ascii="Times New Roman" w:eastAsia="Times New Roman" w:hAnsi="Times New Roman" w:cs="Times New Roman"/>
                            <w:sz w:val="20"/>
                            <w:szCs w:val="20"/>
                          </w:rPr>
                        </w:pPr>
                      </w:p>
                    </w:tc>
                    <w:tc>
                      <w:tcPr>
                        <w:tcW w:w="8700" w:type="dxa"/>
                        <w:vAlign w:val="center"/>
                        <w:hideMark/>
                      </w:tcPr>
                      <w:p w14:paraId="0850B4BB" w14:textId="77777777" w:rsidR="00E85381" w:rsidRDefault="00E85381" w:rsidP="00E8538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B322CB3" w14:textId="77777777" w:rsidR="00E85381" w:rsidRDefault="00E85381" w:rsidP="00E8538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0B2E7F5">
                            <v:rect id="_x0000_i1032" style="width:468pt;height:1.5pt" o:hrstd="t" o:hr="t" fillcolor="#a0a0a0" stroked="f"/>
                          </w:pict>
                        </w:r>
                      </w:p>
                      <w:p w14:paraId="6EE97C6E" w14:textId="77777777" w:rsidR="00E85381" w:rsidRDefault="00E85381" w:rsidP="00E85381">
                        <w:pPr>
                          <w:pStyle w:val="Heading2"/>
                          <w:spacing w:after="0"/>
                          <w:rPr>
                            <w:rFonts w:eastAsia="Times New Roman"/>
                          </w:rPr>
                        </w:pPr>
                        <w:r>
                          <w:rPr>
                            <w:rFonts w:eastAsia="Times New Roman"/>
                          </w:rPr>
                          <w:t>In this update: Pen V SSPs; list of medicines which must not be parallel exported updated; Price Concessions Update; MHRA Drug Safety Update.</w:t>
                        </w:r>
                      </w:p>
                      <w:p w14:paraId="0E578B04" w14:textId="77777777" w:rsidR="00E85381" w:rsidRDefault="00E85381" w:rsidP="00E8538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A7944FE">
                            <v:rect id="_x0000_i1033" style="width:468pt;height:1.5pt" o:hrstd="t" o:hr="t" fillcolor="#a0a0a0" stroked="f"/>
                          </w:pict>
                        </w:r>
                      </w:p>
                      <w:p w14:paraId="4F7CC017" w14:textId="77777777" w:rsidR="00E85381" w:rsidRDefault="00E85381" w:rsidP="00E85381">
                        <w:pPr>
                          <w:pStyle w:val="Heading2"/>
                          <w:spacing w:after="0"/>
                          <w:rPr>
                            <w:rFonts w:eastAsia="Times New Roman"/>
                          </w:rPr>
                        </w:pPr>
                        <w:r>
                          <w:rPr>
                            <w:rFonts w:eastAsia="Times New Roman"/>
                          </w:rPr>
                          <w:t>Reminder: Further five SSPs issued for Pen V</w:t>
                        </w:r>
                      </w:p>
                      <w:p w14:paraId="7FE20F90" w14:textId="77777777" w:rsidR="00E85381" w:rsidRDefault="00E85381" w:rsidP="00E8538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further significant ongoing disruption affecting the supply of Phenoxymethylpenicillin (Pen V), the Department of Health and Social Care (DHSC) issued a further five Serious Shortage Protocols (SSPs) on Friday (16th December) in addition to the three SSPs released on 15th December.</w:t>
                        </w:r>
                        <w:r>
                          <w:rPr>
                            <w:rFonts w:ascii="Tahoma" w:eastAsia="Times New Roman" w:hAnsi="Tahoma" w:cs="Tahoma"/>
                            <w:color w:val="303030"/>
                            <w:sz w:val="21"/>
                            <w:szCs w:val="21"/>
                          </w:rPr>
                          <w:br/>
                        </w:r>
                        <w:r>
                          <w:rPr>
                            <w:rFonts w:ascii="Tahoma" w:eastAsia="Times New Roman" w:hAnsi="Tahoma" w:cs="Tahoma"/>
                            <w:color w:val="303030"/>
                            <w:sz w:val="21"/>
                            <w:szCs w:val="21"/>
                          </w:rPr>
                          <w:br/>
                          <w:t>Working with PSNC and the National Pharmacy Association (NPA), the Royal Pharmaceutical Society (RPS) has developed a flowchart explaining how the SSPs work that we think contractors may find useful.</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Learn more about these SSPs</w:t>
                          </w:r>
                        </w:hyperlink>
                        <w:r>
                          <w:rPr>
                            <w:rFonts w:ascii="Tahoma" w:eastAsia="Times New Roman" w:hAnsi="Tahoma" w:cs="Tahoma"/>
                            <w:color w:val="303030"/>
                            <w:sz w:val="21"/>
                            <w:szCs w:val="21"/>
                          </w:rPr>
                          <w:t xml:space="preserve"> </w:t>
                        </w:r>
                      </w:p>
                      <w:p w14:paraId="1E7C0605" w14:textId="77777777" w:rsidR="00E85381" w:rsidRDefault="00E85381" w:rsidP="00E8538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58BDCF">
                            <v:rect id="_x0000_i1034" style="width:468pt;height:1.5pt" o:hrstd="t" o:hr="t" fillcolor="#a0a0a0" stroked="f"/>
                          </w:pict>
                        </w:r>
                      </w:p>
                      <w:p w14:paraId="16FFA74A" w14:textId="77777777" w:rsidR="00E85381" w:rsidRDefault="00E85381" w:rsidP="00E85381">
                        <w:pPr>
                          <w:pStyle w:val="Heading2"/>
                          <w:spacing w:after="0"/>
                          <w:rPr>
                            <w:rFonts w:eastAsia="Times New Roman"/>
                          </w:rPr>
                        </w:pPr>
                        <w:r>
                          <w:rPr>
                            <w:rFonts w:eastAsia="Times New Roman"/>
                          </w:rPr>
                          <w:t>Updated list of medicines which must not be parallel exported from the UK</w:t>
                        </w:r>
                      </w:p>
                      <w:p w14:paraId="68C18192" w14:textId="77777777" w:rsidR="00E85381" w:rsidRDefault="00E85381" w:rsidP="00E8538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To help ensure the continued supply of medicines to meet the needs of UK patients, DHSC has now added Flucloxacillin, Oseltamivir and Zanamivir to its list of medicines which must not be parallel exported from the UK.</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6294A703" w14:textId="77777777" w:rsidR="00E85381" w:rsidRDefault="00E85381" w:rsidP="00E8538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C7684F7">
                            <v:rect id="_x0000_i1035" style="width:468pt;height:1.5pt" o:hrstd="t" o:hr="t" fillcolor="#a0a0a0" stroked="f"/>
                          </w:pict>
                        </w:r>
                      </w:p>
                      <w:p w14:paraId="7BD80A48" w14:textId="77777777" w:rsidR="00E85381" w:rsidRDefault="00E85381" w:rsidP="00E85381">
                        <w:pPr>
                          <w:pStyle w:val="Heading2"/>
                          <w:spacing w:after="0"/>
                          <w:rPr>
                            <w:rFonts w:eastAsia="Times New Roman"/>
                          </w:rPr>
                        </w:pPr>
                        <w:r>
                          <w:rPr>
                            <w:rFonts w:eastAsia="Times New Roman"/>
                          </w:rPr>
                          <w:t>December 2022 Price Concessions: Second Update</w:t>
                        </w:r>
                      </w:p>
                      <w:p w14:paraId="2A0F7773" w14:textId="77777777" w:rsidR="00E85381" w:rsidRDefault="00E85381" w:rsidP="00E8538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DHSC has granted an updated list of price concessions for December 2022. We are still working hard to finalise prices with DHSC for several other drugs including some antibiotics reported to be unavailable at the prices listed in the December 2022 Drug Tariff. As soon as prices are agreed, these will be cascaded to contractors via our website and email alerts.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See the updated list of price concessions for December</w:t>
                          </w:r>
                        </w:hyperlink>
                        <w:r>
                          <w:rPr>
                            <w:rFonts w:ascii="Tahoma" w:eastAsia="Times New Roman" w:hAnsi="Tahoma" w:cs="Tahoma"/>
                            <w:color w:val="303030"/>
                            <w:sz w:val="21"/>
                            <w:szCs w:val="21"/>
                          </w:rPr>
                          <w:t xml:space="preserve"> </w:t>
                        </w:r>
                      </w:p>
                      <w:p w14:paraId="2E664408" w14:textId="77777777" w:rsidR="00E85381" w:rsidRDefault="00E85381" w:rsidP="00E8538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9D7DE9C">
                            <v:rect id="_x0000_i1036" style="width:468pt;height:1.5pt" o:hrstd="t" o:hr="t" fillcolor="#a0a0a0" stroked="f"/>
                          </w:pict>
                        </w:r>
                      </w:p>
                      <w:p w14:paraId="31D6C5E7" w14:textId="77777777" w:rsidR="00E85381" w:rsidRDefault="00E85381" w:rsidP="00E85381">
                        <w:pPr>
                          <w:pStyle w:val="Heading2"/>
                          <w:spacing w:after="0"/>
                          <w:rPr>
                            <w:rFonts w:eastAsia="Times New Roman"/>
                          </w:rPr>
                        </w:pPr>
                      </w:p>
                      <w:p w14:paraId="244CA4CD" w14:textId="3D70F794" w:rsidR="00E85381" w:rsidRDefault="00E85381" w:rsidP="00E85381">
                        <w:pPr>
                          <w:pStyle w:val="Heading2"/>
                          <w:spacing w:after="0"/>
                          <w:rPr>
                            <w:rFonts w:eastAsia="Times New Roman"/>
                          </w:rPr>
                        </w:pPr>
                        <w:r>
                          <w:rPr>
                            <w:rFonts w:eastAsia="Times New Roman"/>
                          </w:rPr>
                          <w:lastRenderedPageBreak/>
                          <w:t>MHRA Drug Safety Update December 2022</w:t>
                        </w:r>
                      </w:p>
                      <w:p w14:paraId="2B5B014C" w14:textId="32303B11" w:rsidR="00E85381" w:rsidRDefault="00E85381" w:rsidP="00E8538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 new Medicines and Healthcare products Regulatory Agency (MHRA) Drug Safety Update has been published including articles on Valproate, COVID-19 </w:t>
                        </w:r>
                        <w:proofErr w:type="gramStart"/>
                        <w:r>
                          <w:rPr>
                            <w:rFonts w:ascii="Tahoma" w:eastAsia="Times New Roman" w:hAnsi="Tahoma" w:cs="Tahoma"/>
                            <w:color w:val="303030"/>
                            <w:sz w:val="21"/>
                            <w:szCs w:val="21"/>
                          </w:rPr>
                          <w:t>vaccines</w:t>
                        </w:r>
                        <w:proofErr w:type="gramEnd"/>
                        <w:r>
                          <w:rPr>
                            <w:rFonts w:ascii="Tahoma" w:eastAsia="Times New Roman" w:hAnsi="Tahoma" w:cs="Tahoma"/>
                            <w:color w:val="303030"/>
                            <w:sz w:val="21"/>
                            <w:szCs w:val="21"/>
                          </w:rPr>
                          <w:t xml:space="preserve"> and medicines and more. </w:t>
                        </w:r>
                      </w:p>
                      <w:p w14:paraId="7F56BBD6" w14:textId="77777777" w:rsidR="00E85381" w:rsidRDefault="00E85381" w:rsidP="00E85381">
                        <w:pPr>
                          <w:spacing w:line="264" w:lineRule="auto"/>
                          <w:rPr>
                            <w:rFonts w:ascii="Tahoma" w:eastAsia="Times New Roman" w:hAnsi="Tahoma" w:cs="Tahoma"/>
                            <w:color w:val="303030"/>
                            <w:sz w:val="21"/>
                            <w:szCs w:val="21"/>
                          </w:rPr>
                        </w:pPr>
                      </w:p>
                      <w:p w14:paraId="5D4D9C9F" w14:textId="77777777" w:rsidR="00E85381" w:rsidRDefault="00E85381" w:rsidP="00E85381">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Read the December MHRA Drug Safety Update</w:t>
                          </w:r>
                        </w:hyperlink>
                      </w:p>
                    </w:tc>
                    <w:tc>
                      <w:tcPr>
                        <w:tcW w:w="150" w:type="dxa"/>
                        <w:vAlign w:val="center"/>
                        <w:hideMark/>
                      </w:tcPr>
                      <w:p w14:paraId="057E5BB4" w14:textId="77777777" w:rsidR="00E85381" w:rsidRDefault="00E85381">
                        <w:pPr>
                          <w:rPr>
                            <w:rFonts w:ascii="Tahoma" w:hAnsi="Tahoma" w:cs="Tahoma"/>
                            <w:color w:val="303030"/>
                            <w:sz w:val="21"/>
                            <w:szCs w:val="21"/>
                          </w:rPr>
                        </w:pPr>
                      </w:p>
                    </w:tc>
                  </w:tr>
                  <w:tr w:rsidR="00E85381" w14:paraId="28FD51F5" w14:textId="77777777">
                    <w:trPr>
                      <w:trHeight w:val="150"/>
                      <w:tblCellSpacing w:w="15" w:type="dxa"/>
                      <w:jc w:val="center"/>
                    </w:trPr>
                    <w:tc>
                      <w:tcPr>
                        <w:tcW w:w="150" w:type="dxa"/>
                        <w:vAlign w:val="center"/>
                        <w:hideMark/>
                      </w:tcPr>
                      <w:p w14:paraId="59C92DBA" w14:textId="77777777" w:rsidR="00E85381" w:rsidRDefault="00E85381">
                        <w:pPr>
                          <w:rPr>
                            <w:rFonts w:ascii="Times New Roman" w:eastAsia="Times New Roman" w:hAnsi="Times New Roman" w:cs="Times New Roman"/>
                            <w:sz w:val="20"/>
                            <w:szCs w:val="20"/>
                          </w:rPr>
                        </w:pPr>
                      </w:p>
                    </w:tc>
                    <w:tc>
                      <w:tcPr>
                        <w:tcW w:w="8700" w:type="dxa"/>
                        <w:vAlign w:val="center"/>
                        <w:hideMark/>
                      </w:tcPr>
                      <w:p w14:paraId="15EC114A" w14:textId="77777777" w:rsidR="00E85381" w:rsidRDefault="00E85381">
                        <w:pPr>
                          <w:rPr>
                            <w:rFonts w:ascii="Times New Roman" w:eastAsia="Times New Roman" w:hAnsi="Times New Roman" w:cs="Times New Roman"/>
                            <w:sz w:val="20"/>
                            <w:szCs w:val="20"/>
                          </w:rPr>
                        </w:pPr>
                      </w:p>
                    </w:tc>
                    <w:tc>
                      <w:tcPr>
                        <w:tcW w:w="150" w:type="dxa"/>
                        <w:vAlign w:val="center"/>
                        <w:hideMark/>
                      </w:tcPr>
                      <w:p w14:paraId="1C5FF9C2" w14:textId="77777777" w:rsidR="00E85381" w:rsidRDefault="00E85381">
                        <w:pPr>
                          <w:rPr>
                            <w:rFonts w:ascii="Times New Roman" w:eastAsia="Times New Roman" w:hAnsi="Times New Roman" w:cs="Times New Roman"/>
                            <w:sz w:val="20"/>
                            <w:szCs w:val="20"/>
                          </w:rPr>
                        </w:pPr>
                      </w:p>
                    </w:tc>
                  </w:tr>
                </w:tbl>
                <w:p w14:paraId="193DEC9D" w14:textId="77777777" w:rsidR="00E85381" w:rsidRDefault="00E85381">
                  <w:pPr>
                    <w:jc w:val="center"/>
                    <w:rPr>
                      <w:rFonts w:ascii="Times New Roman" w:eastAsia="Times New Roman" w:hAnsi="Times New Roman" w:cs="Times New Roman"/>
                      <w:sz w:val="20"/>
                      <w:szCs w:val="20"/>
                    </w:rPr>
                  </w:pPr>
                </w:p>
              </w:tc>
            </w:tr>
          </w:tbl>
          <w:p w14:paraId="74CE309D" w14:textId="77777777" w:rsidR="00E85381" w:rsidRDefault="00E85381">
            <w:pPr>
              <w:jc w:val="center"/>
              <w:rPr>
                <w:rFonts w:ascii="Times New Roman" w:eastAsia="Times New Roman" w:hAnsi="Times New Roman" w:cs="Times New Roman"/>
                <w:sz w:val="20"/>
                <w:szCs w:val="20"/>
              </w:rPr>
            </w:pPr>
          </w:p>
        </w:tc>
      </w:tr>
      <w:tr w:rsidR="00E85381" w14:paraId="08DDAD05" w14:textId="77777777" w:rsidTr="00E85381">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85381" w14:paraId="63FBCF0F"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85381" w14:paraId="2B337362" w14:textId="77777777">
                    <w:trPr>
                      <w:tblCellSpacing w:w="0" w:type="dxa"/>
                      <w:jc w:val="center"/>
                    </w:trPr>
                    <w:tc>
                      <w:tcPr>
                        <w:tcW w:w="3000" w:type="dxa"/>
                        <w:tcMar>
                          <w:top w:w="30" w:type="dxa"/>
                          <w:left w:w="75" w:type="dxa"/>
                          <w:bottom w:w="30" w:type="dxa"/>
                          <w:right w:w="75" w:type="dxa"/>
                        </w:tcMar>
                        <w:hideMark/>
                      </w:tcPr>
                      <w:p w14:paraId="1F93D51F" w14:textId="77777777" w:rsidR="00E85381" w:rsidRDefault="00E85381">
                        <w:pPr>
                          <w:pStyle w:val="Heading4"/>
                          <w:jc w:val="center"/>
                          <w:rPr>
                            <w:rFonts w:eastAsia="Times New Roman"/>
                          </w:rPr>
                        </w:pPr>
                        <w:r>
                          <w:rPr>
                            <w:rFonts w:eastAsia="Times New Roman"/>
                          </w:rPr>
                          <w:lastRenderedPageBreak/>
                          <w:t>Pharmaceutical Services Negotiating Committee</w:t>
                        </w:r>
                      </w:p>
                      <w:p w14:paraId="0563C342" w14:textId="26421250" w:rsidR="00E85381" w:rsidRDefault="00E85381">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983C949" wp14:editId="6BA7FA81">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FCDBB5B" wp14:editId="219A543F">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29950A0" wp14:editId="37A0F92A">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EB6D74D" wp14:editId="261307CA">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F4668E8" w14:textId="77777777" w:rsidR="00E85381" w:rsidRDefault="00E85381">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E85381" w14:paraId="3E64D4DD" w14:textId="77777777" w:rsidTr="00E85381">
                    <w:trPr>
                      <w:trHeight w:val="20"/>
                      <w:tblCellSpacing w:w="0" w:type="dxa"/>
                      <w:jc w:val="center"/>
                    </w:trPr>
                    <w:tc>
                      <w:tcPr>
                        <w:tcW w:w="9000" w:type="dxa"/>
                        <w:tcMar>
                          <w:top w:w="150" w:type="dxa"/>
                          <w:left w:w="0" w:type="dxa"/>
                          <w:bottom w:w="0" w:type="dxa"/>
                          <w:right w:w="0" w:type="dxa"/>
                        </w:tcMar>
                        <w:vAlign w:val="center"/>
                        <w:hideMark/>
                      </w:tcPr>
                      <w:p w14:paraId="6FDE4E0A" w14:textId="1C2E372A" w:rsidR="00E85381" w:rsidRDefault="00E85381" w:rsidP="00E85381">
                        <w:pPr>
                          <w:rPr>
                            <w:rFonts w:ascii="Arial" w:eastAsia="Times New Roman" w:hAnsi="Arial" w:cs="Arial"/>
                            <w:color w:val="FFFFFF"/>
                            <w:sz w:val="17"/>
                            <w:szCs w:val="17"/>
                          </w:rPr>
                        </w:pPr>
                      </w:p>
                    </w:tc>
                  </w:tr>
                </w:tbl>
                <w:p w14:paraId="3D46E63F" w14:textId="77777777" w:rsidR="00E85381" w:rsidRDefault="00E85381">
                  <w:pPr>
                    <w:jc w:val="center"/>
                    <w:rPr>
                      <w:rFonts w:ascii="Times New Roman" w:eastAsia="Times New Roman" w:hAnsi="Times New Roman" w:cs="Times New Roman"/>
                      <w:sz w:val="20"/>
                      <w:szCs w:val="20"/>
                    </w:rPr>
                  </w:pPr>
                </w:p>
              </w:tc>
            </w:tr>
          </w:tbl>
          <w:p w14:paraId="4E4359ED" w14:textId="77777777" w:rsidR="00E85381" w:rsidRDefault="00E85381">
            <w:pPr>
              <w:jc w:val="center"/>
              <w:rPr>
                <w:rFonts w:ascii="Times New Roman" w:eastAsia="Times New Roman" w:hAnsi="Times New Roman" w:cs="Times New Roman"/>
                <w:sz w:val="20"/>
                <w:szCs w:val="20"/>
              </w:rPr>
            </w:pPr>
          </w:p>
        </w:tc>
      </w:tr>
    </w:tbl>
    <w:p w14:paraId="3B435D14" w14:textId="6625357B" w:rsidR="00E85381" w:rsidRDefault="00E85381" w:rsidP="00E85381">
      <w:pPr>
        <w:rPr>
          <w:rFonts w:eastAsia="Times New Roman"/>
        </w:rPr>
      </w:pPr>
      <w:r>
        <w:rPr>
          <w:rFonts w:eastAsia="Times New Roman"/>
          <w:noProof/>
        </w:rPr>
        <w:drawing>
          <wp:inline distT="0" distB="0" distL="0" distR="0" wp14:anchorId="076E8243" wp14:editId="1994379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439AF4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81"/>
    <w:rsid w:val="00DD1890"/>
    <w:rsid w:val="00E8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1348"/>
  <w15:chartTrackingRefBased/>
  <w15:docId w15:val="{03140FCA-820D-4248-83E7-B7291C35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381"/>
    <w:rPr>
      <w:rFonts w:ascii="Calibri" w:hAnsi="Calibri" w:cs="Calibri"/>
      <w:lang w:eastAsia="en-GB"/>
    </w:rPr>
  </w:style>
  <w:style w:type="paragraph" w:styleId="Heading1">
    <w:name w:val="heading 1"/>
    <w:basedOn w:val="Normal"/>
    <w:link w:val="Heading1Char"/>
    <w:uiPriority w:val="9"/>
    <w:qFormat/>
    <w:rsid w:val="00E85381"/>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85381"/>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E85381"/>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381"/>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85381"/>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E85381"/>
    <w:rPr>
      <w:rFonts w:ascii="Tahoma" w:hAnsi="Tahoma" w:cs="Tahoma"/>
      <w:b/>
      <w:bCs/>
      <w:color w:val="FFFFFF"/>
      <w:sz w:val="18"/>
      <w:szCs w:val="18"/>
      <w:lang w:eastAsia="en-GB"/>
    </w:rPr>
  </w:style>
  <w:style w:type="paragraph" w:styleId="NormalWeb">
    <w:name w:val="Normal (Web)"/>
    <w:basedOn w:val="Normal"/>
    <w:uiPriority w:val="99"/>
    <w:semiHidden/>
    <w:unhideWhenUsed/>
    <w:rsid w:val="00E85381"/>
    <w:pPr>
      <w:spacing w:before="100" w:beforeAutospacing="1" w:after="100" w:afterAutospacing="1"/>
    </w:pPr>
  </w:style>
  <w:style w:type="character" w:styleId="Strong">
    <w:name w:val="Strong"/>
    <w:basedOn w:val="DefaultParagraphFont"/>
    <w:uiPriority w:val="22"/>
    <w:qFormat/>
    <w:rsid w:val="00E85381"/>
    <w:rPr>
      <w:b/>
      <w:bCs/>
    </w:rPr>
  </w:style>
  <w:style w:type="character" w:styleId="Hyperlink">
    <w:name w:val="Hyperlink"/>
    <w:basedOn w:val="DefaultParagraphFont"/>
    <w:uiPriority w:val="99"/>
    <w:semiHidden/>
    <w:unhideWhenUsed/>
    <w:rsid w:val="00E85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39efd78e7f&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1375ff3e38&amp;e=d19e9fd41c" TargetMode="External"/><Relationship Id="rId26" Type="http://schemas.openxmlformats.org/officeDocument/2006/relationships/image" Target="https://psnc.us7.list-manage.com/track/open.php?u=86d41ab7fa4c7c2c5d7210782&amp;id=fa8842015f&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21565491f4&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ed409df315&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5f40751240&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9582fb9914&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6d8644db17&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2a61de8957&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2022-12-22T07:46:00Z</dcterms:created>
  <dcterms:modified xsi:type="dcterms:W3CDTF">2022-12-22T07:47:00Z</dcterms:modified>
</cp:coreProperties>
</file>