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5330E" w14:paraId="5024F80B" w14:textId="77777777" w:rsidTr="0035330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5330E" w14:paraId="2D50D38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5330E" w14:paraId="29F55005" w14:textId="77777777">
                    <w:trPr>
                      <w:tblCellSpacing w:w="0" w:type="dxa"/>
                      <w:jc w:val="center"/>
                    </w:trPr>
                    <w:tc>
                      <w:tcPr>
                        <w:tcW w:w="3000" w:type="dxa"/>
                        <w:hideMark/>
                      </w:tcPr>
                      <w:p w14:paraId="612A2C60" w14:textId="45B63255" w:rsidR="0035330E" w:rsidRDefault="0035330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30B8DEF" w14:textId="77777777" w:rsidR="0035330E" w:rsidRDefault="0035330E">
                  <w:pPr>
                    <w:jc w:val="center"/>
                    <w:rPr>
                      <w:rFonts w:ascii="Times New Roman" w:eastAsia="Times New Roman" w:hAnsi="Times New Roman" w:cs="Times New Roman"/>
                      <w:sz w:val="20"/>
                      <w:szCs w:val="20"/>
                    </w:rPr>
                  </w:pPr>
                </w:p>
              </w:tc>
            </w:tr>
            <w:tr w:rsidR="0035330E" w14:paraId="08F88D9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5330E" w14:paraId="42A5225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31EE0DC" w14:textId="47DCBE0A" w:rsidR="0035330E" w:rsidRDefault="0035330E">
                        <w:pPr>
                          <w:jc w:val="center"/>
                          <w:rPr>
                            <w:rFonts w:eastAsia="Times New Roman"/>
                          </w:rPr>
                        </w:pPr>
                        <w:r>
                          <w:rPr>
                            <w:rFonts w:eastAsia="Times New Roman"/>
                            <w:noProof/>
                          </w:rPr>
                          <w:drawing>
                            <wp:inline distT="0" distB="0" distL="0" distR="0" wp14:anchorId="4B033017" wp14:editId="3AED979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5330E" w14:paraId="329802A4" w14:textId="77777777">
                    <w:trPr>
                      <w:tblCellSpacing w:w="0" w:type="dxa"/>
                    </w:trPr>
                    <w:tc>
                      <w:tcPr>
                        <w:tcW w:w="0" w:type="auto"/>
                        <w:vMerge/>
                        <w:tcBorders>
                          <w:top w:val="nil"/>
                          <w:left w:val="nil"/>
                          <w:bottom w:val="single" w:sz="2" w:space="0" w:color="FFFFFF"/>
                          <w:right w:val="nil"/>
                        </w:tcBorders>
                        <w:vAlign w:val="center"/>
                        <w:hideMark/>
                      </w:tcPr>
                      <w:p w14:paraId="5422B227" w14:textId="77777777" w:rsidR="0035330E" w:rsidRDefault="0035330E">
                        <w:pPr>
                          <w:rPr>
                            <w:rFonts w:eastAsia="Times New Roman"/>
                          </w:rPr>
                        </w:pPr>
                      </w:p>
                    </w:tc>
                    <w:tc>
                      <w:tcPr>
                        <w:tcW w:w="3450" w:type="dxa"/>
                        <w:tcBorders>
                          <w:top w:val="nil"/>
                          <w:left w:val="nil"/>
                          <w:bottom w:val="nil"/>
                          <w:right w:val="nil"/>
                        </w:tcBorders>
                        <w:vAlign w:val="center"/>
                        <w:hideMark/>
                      </w:tcPr>
                      <w:p w14:paraId="52196080" w14:textId="77777777" w:rsidR="0035330E" w:rsidRDefault="0035330E">
                        <w:pPr>
                          <w:pStyle w:val="Heading1"/>
                          <w:rPr>
                            <w:rFonts w:eastAsia="Times New Roman"/>
                          </w:rPr>
                        </w:pPr>
                        <w:r>
                          <w:rPr>
                            <w:rFonts w:eastAsia="Times New Roman"/>
                          </w:rPr>
                          <w:t>PSNC News Alert</w:t>
                        </w:r>
                      </w:p>
                    </w:tc>
                  </w:tr>
                  <w:tr w:rsidR="0035330E" w14:paraId="19FFB479" w14:textId="77777777">
                    <w:trPr>
                      <w:tblCellSpacing w:w="0" w:type="dxa"/>
                    </w:trPr>
                    <w:tc>
                      <w:tcPr>
                        <w:tcW w:w="0" w:type="auto"/>
                        <w:vMerge/>
                        <w:tcBorders>
                          <w:top w:val="nil"/>
                          <w:left w:val="nil"/>
                          <w:bottom w:val="single" w:sz="2" w:space="0" w:color="FFFFFF"/>
                          <w:right w:val="nil"/>
                        </w:tcBorders>
                        <w:vAlign w:val="center"/>
                        <w:hideMark/>
                      </w:tcPr>
                      <w:p w14:paraId="0CAA15E3" w14:textId="77777777" w:rsidR="0035330E" w:rsidRDefault="0035330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41663CD" w14:textId="77777777" w:rsidR="0035330E" w:rsidRDefault="0035330E">
                        <w:pPr>
                          <w:pStyle w:val="Heading2"/>
                          <w:rPr>
                            <w:rFonts w:eastAsia="Times New Roman"/>
                            <w:color w:val="93378A"/>
                          </w:rPr>
                        </w:pPr>
                        <w:r>
                          <w:rPr>
                            <w:rFonts w:eastAsia="Times New Roman"/>
                            <w:color w:val="93378A"/>
                          </w:rPr>
                          <w:t>Thursday 6th October 2022</w:t>
                        </w:r>
                      </w:p>
                    </w:tc>
                  </w:tr>
                </w:tbl>
                <w:p w14:paraId="01BB4952" w14:textId="77777777" w:rsidR="0035330E" w:rsidRDefault="0035330E">
                  <w:pPr>
                    <w:rPr>
                      <w:rFonts w:ascii="Times New Roman" w:eastAsia="Times New Roman" w:hAnsi="Times New Roman" w:cs="Times New Roman"/>
                      <w:sz w:val="20"/>
                      <w:szCs w:val="20"/>
                    </w:rPr>
                  </w:pPr>
                </w:p>
              </w:tc>
            </w:tr>
            <w:tr w:rsidR="0035330E" w14:paraId="696394BF" w14:textId="77777777">
              <w:tblPrEx>
                <w:shd w:val="clear" w:color="auto" w:fill="auto"/>
              </w:tblPrEx>
              <w:trPr>
                <w:tblCellSpacing w:w="0" w:type="dxa"/>
                <w:jc w:val="center"/>
              </w:trPr>
              <w:tc>
                <w:tcPr>
                  <w:tcW w:w="9000" w:type="dxa"/>
                  <w:hideMark/>
                </w:tcPr>
                <w:p w14:paraId="425C48D9" w14:textId="66EFAD84" w:rsidR="0035330E" w:rsidRDefault="0035330E">
                  <w:pPr>
                    <w:rPr>
                      <w:rFonts w:eastAsia="Times New Roman"/>
                    </w:rPr>
                  </w:pPr>
                  <w:r>
                    <w:rPr>
                      <w:rFonts w:eastAsia="Times New Roman"/>
                      <w:noProof/>
                    </w:rPr>
                    <w:drawing>
                      <wp:inline distT="0" distB="0" distL="0" distR="0" wp14:anchorId="5458B8F9" wp14:editId="5FF8CD7A">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5330E" w14:paraId="76477C3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35330E" w14:paraId="0D51E57F" w14:textId="77777777">
                    <w:trPr>
                      <w:trHeight w:val="150"/>
                      <w:tblCellSpacing w:w="15" w:type="dxa"/>
                      <w:jc w:val="center"/>
                    </w:trPr>
                    <w:tc>
                      <w:tcPr>
                        <w:tcW w:w="150" w:type="dxa"/>
                        <w:vAlign w:val="center"/>
                        <w:hideMark/>
                      </w:tcPr>
                      <w:p w14:paraId="2C4E51D5" w14:textId="77777777" w:rsidR="0035330E" w:rsidRDefault="0035330E" w:rsidP="0035330E">
                        <w:pPr>
                          <w:spacing w:line="264" w:lineRule="auto"/>
                          <w:rPr>
                            <w:rFonts w:eastAsia="Times New Roman"/>
                          </w:rPr>
                        </w:pPr>
                      </w:p>
                    </w:tc>
                    <w:tc>
                      <w:tcPr>
                        <w:tcW w:w="8700" w:type="dxa"/>
                        <w:vAlign w:val="center"/>
                        <w:hideMark/>
                      </w:tcPr>
                      <w:p w14:paraId="53A6282D" w14:textId="77777777" w:rsidR="0035330E" w:rsidRDefault="0035330E" w:rsidP="0035330E">
                        <w:pPr>
                          <w:spacing w:line="264" w:lineRule="auto"/>
                          <w:rPr>
                            <w:rFonts w:ascii="Times New Roman" w:eastAsia="Times New Roman" w:hAnsi="Times New Roman" w:cs="Times New Roman"/>
                            <w:sz w:val="20"/>
                            <w:szCs w:val="20"/>
                          </w:rPr>
                        </w:pPr>
                      </w:p>
                    </w:tc>
                    <w:tc>
                      <w:tcPr>
                        <w:tcW w:w="150" w:type="dxa"/>
                        <w:vAlign w:val="center"/>
                        <w:hideMark/>
                      </w:tcPr>
                      <w:p w14:paraId="28603159" w14:textId="77777777" w:rsidR="0035330E" w:rsidRDefault="0035330E" w:rsidP="0035330E">
                        <w:pPr>
                          <w:spacing w:line="264" w:lineRule="auto"/>
                          <w:rPr>
                            <w:rFonts w:ascii="Times New Roman" w:eastAsia="Times New Roman" w:hAnsi="Times New Roman" w:cs="Times New Roman"/>
                            <w:sz w:val="20"/>
                            <w:szCs w:val="20"/>
                          </w:rPr>
                        </w:pPr>
                      </w:p>
                    </w:tc>
                  </w:tr>
                  <w:tr w:rsidR="0035330E" w14:paraId="19B9D32E" w14:textId="77777777">
                    <w:trPr>
                      <w:tblCellSpacing w:w="15" w:type="dxa"/>
                      <w:jc w:val="center"/>
                    </w:trPr>
                    <w:tc>
                      <w:tcPr>
                        <w:tcW w:w="150" w:type="dxa"/>
                        <w:vAlign w:val="center"/>
                        <w:hideMark/>
                      </w:tcPr>
                      <w:p w14:paraId="19DDFB87" w14:textId="77777777" w:rsidR="0035330E" w:rsidRDefault="0035330E" w:rsidP="0035330E">
                        <w:pPr>
                          <w:spacing w:line="264" w:lineRule="auto"/>
                          <w:rPr>
                            <w:rFonts w:ascii="Times New Roman" w:eastAsia="Times New Roman" w:hAnsi="Times New Roman" w:cs="Times New Roman"/>
                            <w:sz w:val="20"/>
                            <w:szCs w:val="20"/>
                          </w:rPr>
                        </w:pPr>
                      </w:p>
                    </w:tc>
                    <w:tc>
                      <w:tcPr>
                        <w:tcW w:w="8700" w:type="dxa"/>
                        <w:vAlign w:val="center"/>
                        <w:hideMark/>
                      </w:tcPr>
                      <w:p w14:paraId="74071AF8" w14:textId="77777777" w:rsidR="0035330E" w:rsidRDefault="0035330E" w:rsidP="0035330E">
                        <w:pPr>
                          <w:pStyle w:val="Heading2"/>
                          <w:spacing w:after="0"/>
                          <w:rPr>
                            <w:rFonts w:eastAsia="Times New Roman"/>
                          </w:rPr>
                        </w:pPr>
                        <w:r>
                          <w:rPr>
                            <w:rFonts w:eastAsia="Times New Roman"/>
                          </w:rPr>
                          <w:t>Mandatory workforce survey opens today</w:t>
                        </w:r>
                      </w:p>
                      <w:p w14:paraId="4FA28D62" w14:textId="79B5CFC6" w:rsidR="0035330E" w:rsidRDefault="0035330E" w:rsidP="0035330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t xml:space="preserve">The 2022 Community Pharmacy Workforce Survey, managed by Health Education England (HEE) has opened today. Completion of the survey is a </w:t>
                        </w:r>
                        <w:r>
                          <w:rPr>
                            <w:rStyle w:val="Strong"/>
                            <w:rFonts w:ascii="Tahoma" w:eastAsia="Times New Roman" w:hAnsi="Tahoma" w:cs="Tahoma"/>
                            <w:color w:val="303030"/>
                            <w:sz w:val="21"/>
                            <w:szCs w:val="21"/>
                          </w:rPr>
                          <w:t>mandatory requirement</w:t>
                        </w:r>
                        <w:r>
                          <w:rPr>
                            <w:rFonts w:ascii="Tahoma" w:eastAsia="Times New Roman" w:hAnsi="Tahoma" w:cs="Tahoma"/>
                            <w:color w:val="303030"/>
                            <w:sz w:val="21"/>
                            <w:szCs w:val="21"/>
                          </w:rPr>
                          <w:t xml:space="preserve"> for all pharmacy contractors.</w:t>
                        </w:r>
                      </w:p>
                      <w:p w14:paraId="4EF0EA85" w14:textId="77777777" w:rsidR="0035330E" w:rsidRDefault="0035330E" w:rsidP="0035330E">
                        <w:pPr>
                          <w:spacing w:line="264" w:lineRule="auto"/>
                          <w:rPr>
                            <w:rFonts w:ascii="Tahoma" w:eastAsia="Times New Roman" w:hAnsi="Tahoma" w:cs="Tahoma"/>
                            <w:color w:val="303030"/>
                            <w:sz w:val="21"/>
                            <w:szCs w:val="21"/>
                          </w:rPr>
                        </w:pPr>
                      </w:p>
                      <w:p w14:paraId="2A16DB05" w14:textId="0B61D972" w:rsidR="0035330E" w:rsidRDefault="0035330E" w:rsidP="0035330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NHS Business Service Authority (NHSBSA) will send an email to pharmacy contractors containing a link to the survey today.</w:t>
                        </w:r>
                      </w:p>
                      <w:p w14:paraId="43DF97D2" w14:textId="77777777" w:rsidR="0035330E" w:rsidRDefault="0035330E" w:rsidP="0035330E">
                        <w:pPr>
                          <w:pStyle w:val="NormalWeb"/>
                          <w:spacing w:before="0" w:beforeAutospacing="0" w:after="0" w:afterAutospacing="0" w:line="264" w:lineRule="auto"/>
                          <w:rPr>
                            <w:rFonts w:ascii="Tahoma" w:hAnsi="Tahoma" w:cs="Tahoma"/>
                            <w:color w:val="303030"/>
                            <w:sz w:val="21"/>
                            <w:szCs w:val="21"/>
                          </w:rPr>
                        </w:pPr>
                      </w:p>
                      <w:p w14:paraId="49DD104E" w14:textId="73D02FF9" w:rsidR="0035330E" w:rsidRDefault="0035330E" w:rsidP="0035330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In some cases, </w:t>
                        </w:r>
                        <w:proofErr w:type="gramStart"/>
                        <w:r>
                          <w:rPr>
                            <w:rFonts w:ascii="Tahoma" w:hAnsi="Tahoma" w:cs="Tahoma"/>
                            <w:color w:val="303030"/>
                            <w:sz w:val="21"/>
                            <w:szCs w:val="21"/>
                          </w:rPr>
                          <w:t>e.g.</w:t>
                        </w:r>
                        <w:proofErr w:type="gramEnd"/>
                        <w:r>
                          <w:rPr>
                            <w:rFonts w:ascii="Tahoma" w:hAnsi="Tahoma" w:cs="Tahoma"/>
                            <w:color w:val="303030"/>
                            <w:sz w:val="21"/>
                            <w:szCs w:val="21"/>
                          </w:rPr>
                          <w:t xml:space="preserve"> Company Chemists’ Association member companies and other larger multiple pharmacy groups, head offices will complete the survey centrally. If you are not sure whether the survey will be completed centrally, please ask your head office for guidance.</w:t>
                        </w:r>
                      </w:p>
                      <w:p w14:paraId="14CD57C0" w14:textId="77777777" w:rsidR="0035330E" w:rsidRDefault="0035330E" w:rsidP="0035330E">
                        <w:pPr>
                          <w:pStyle w:val="NormalWeb"/>
                          <w:spacing w:before="0" w:beforeAutospacing="0" w:after="0" w:afterAutospacing="0" w:line="264" w:lineRule="auto"/>
                          <w:rPr>
                            <w:rFonts w:ascii="Tahoma" w:hAnsi="Tahoma" w:cs="Tahoma"/>
                            <w:color w:val="303030"/>
                            <w:sz w:val="21"/>
                            <w:szCs w:val="21"/>
                          </w:rPr>
                        </w:pPr>
                      </w:p>
                      <w:p w14:paraId="40C750BC" w14:textId="77777777" w:rsidR="0035330E" w:rsidRDefault="0035330E" w:rsidP="0035330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survey is open for eight weeks and must be completed by </w:t>
                        </w:r>
                        <w:r>
                          <w:rPr>
                            <w:rStyle w:val="Strong"/>
                            <w:rFonts w:ascii="Tahoma" w:hAnsi="Tahoma" w:cs="Tahoma"/>
                            <w:color w:val="303030"/>
                            <w:sz w:val="21"/>
                            <w:szCs w:val="21"/>
                          </w:rPr>
                          <w:t>30th November 2022</w:t>
                        </w:r>
                        <w:r>
                          <w:rPr>
                            <w:rFonts w:ascii="Tahoma" w:hAnsi="Tahoma" w:cs="Tahoma"/>
                            <w:color w:val="303030"/>
                            <w:sz w:val="21"/>
                            <w:szCs w:val="21"/>
                          </w:rPr>
                          <w:t>.</w:t>
                        </w:r>
                      </w:p>
                      <w:p w14:paraId="7806CCF2" w14:textId="77777777" w:rsidR="0035330E" w:rsidRDefault="0035330E" w:rsidP="0035330E">
                        <w:pPr>
                          <w:spacing w:line="264" w:lineRule="auto"/>
                          <w:rPr>
                            <w:rStyle w:val="Strong"/>
                            <w:rFonts w:ascii="Tahoma" w:eastAsia="Times New Roman" w:hAnsi="Tahoma" w:cs="Tahoma"/>
                            <w:color w:val="303030"/>
                            <w:sz w:val="21"/>
                            <w:szCs w:val="21"/>
                          </w:rPr>
                        </w:pPr>
                      </w:p>
                      <w:p w14:paraId="39711251" w14:textId="24AC10A2" w:rsidR="0035330E" w:rsidRDefault="0035330E" w:rsidP="0035330E">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Background to the survey</w:t>
                        </w:r>
                        <w:r>
                          <w:rPr>
                            <w:rFonts w:ascii="Tahoma" w:eastAsia="Times New Roman" w:hAnsi="Tahoma" w:cs="Tahoma"/>
                            <w:color w:val="303030"/>
                            <w:sz w:val="21"/>
                            <w:szCs w:val="21"/>
                          </w:rPr>
                          <w:t xml:space="preserve"> </w:t>
                        </w:r>
                      </w:p>
                      <w:p w14:paraId="41D874FC" w14:textId="37F165A9" w:rsidR="0035330E" w:rsidRDefault="0035330E" w:rsidP="0035330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Workforce challenges are currently adversely impacting most sectors of the UK economy, but they are being particularly acutely felt within community pharmacy, with serious consequences for pharmacy contractors.</w:t>
                        </w:r>
                      </w:p>
                      <w:p w14:paraId="42D5E713" w14:textId="77777777" w:rsidR="0035330E" w:rsidRDefault="0035330E" w:rsidP="0035330E">
                        <w:pPr>
                          <w:pStyle w:val="NormalWeb"/>
                          <w:spacing w:before="0" w:beforeAutospacing="0" w:after="0" w:afterAutospacing="0" w:line="264" w:lineRule="auto"/>
                          <w:rPr>
                            <w:rFonts w:ascii="Tahoma" w:hAnsi="Tahoma" w:cs="Tahoma"/>
                            <w:color w:val="303030"/>
                            <w:sz w:val="21"/>
                            <w:szCs w:val="21"/>
                          </w:rPr>
                        </w:pPr>
                      </w:p>
                      <w:p w14:paraId="280CACEF" w14:textId="77777777" w:rsidR="0035330E" w:rsidRDefault="0035330E" w:rsidP="0035330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and the other national pharmacy bodies have called for improved workforce planning to be undertaken by the Government and NHS, but for this to happen, high quality workforce data for community pharmacy needs to be available. That is the reason that completion of the workforce survey is so important for the community pharmacy sector.</w:t>
                        </w:r>
                      </w:p>
                      <w:p w14:paraId="095307F2" w14:textId="77777777" w:rsidR="0035330E" w:rsidRDefault="0035330E" w:rsidP="0035330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completion of the survey is a mandatory requirement, but alongside this, PSNC negotiated the removal of the requirement for contractors to undertake an annual survey of patient satisfaction.</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 about the survey</w:t>
                          </w:r>
                        </w:hyperlink>
                      </w:p>
                    </w:tc>
                    <w:tc>
                      <w:tcPr>
                        <w:tcW w:w="150" w:type="dxa"/>
                        <w:vAlign w:val="center"/>
                        <w:hideMark/>
                      </w:tcPr>
                      <w:p w14:paraId="51648E74" w14:textId="77777777" w:rsidR="0035330E" w:rsidRDefault="0035330E" w:rsidP="0035330E">
                        <w:pPr>
                          <w:spacing w:line="264" w:lineRule="auto"/>
                          <w:rPr>
                            <w:rFonts w:ascii="Tahoma" w:hAnsi="Tahoma" w:cs="Tahoma"/>
                            <w:color w:val="303030"/>
                            <w:sz w:val="21"/>
                            <w:szCs w:val="21"/>
                          </w:rPr>
                        </w:pPr>
                      </w:p>
                    </w:tc>
                  </w:tr>
                  <w:tr w:rsidR="0035330E" w14:paraId="13722F86" w14:textId="77777777">
                    <w:trPr>
                      <w:trHeight w:val="150"/>
                      <w:tblCellSpacing w:w="15" w:type="dxa"/>
                      <w:jc w:val="center"/>
                    </w:trPr>
                    <w:tc>
                      <w:tcPr>
                        <w:tcW w:w="150" w:type="dxa"/>
                        <w:vAlign w:val="center"/>
                        <w:hideMark/>
                      </w:tcPr>
                      <w:p w14:paraId="08E759CA" w14:textId="77777777" w:rsidR="0035330E" w:rsidRDefault="0035330E" w:rsidP="0035330E">
                        <w:pPr>
                          <w:spacing w:line="264" w:lineRule="auto"/>
                          <w:rPr>
                            <w:rFonts w:ascii="Times New Roman" w:eastAsia="Times New Roman" w:hAnsi="Times New Roman" w:cs="Times New Roman"/>
                            <w:sz w:val="20"/>
                            <w:szCs w:val="20"/>
                          </w:rPr>
                        </w:pPr>
                      </w:p>
                    </w:tc>
                    <w:tc>
                      <w:tcPr>
                        <w:tcW w:w="8700" w:type="dxa"/>
                        <w:vAlign w:val="center"/>
                        <w:hideMark/>
                      </w:tcPr>
                      <w:p w14:paraId="2E6C5833" w14:textId="77777777" w:rsidR="0035330E" w:rsidRDefault="0035330E" w:rsidP="0035330E">
                        <w:pPr>
                          <w:spacing w:line="264" w:lineRule="auto"/>
                          <w:rPr>
                            <w:rFonts w:ascii="Times New Roman" w:eastAsia="Times New Roman" w:hAnsi="Times New Roman" w:cs="Times New Roman"/>
                            <w:sz w:val="20"/>
                            <w:szCs w:val="20"/>
                          </w:rPr>
                        </w:pPr>
                      </w:p>
                    </w:tc>
                    <w:tc>
                      <w:tcPr>
                        <w:tcW w:w="150" w:type="dxa"/>
                        <w:vAlign w:val="center"/>
                        <w:hideMark/>
                      </w:tcPr>
                      <w:p w14:paraId="0D8070C0" w14:textId="77777777" w:rsidR="0035330E" w:rsidRDefault="0035330E" w:rsidP="0035330E">
                        <w:pPr>
                          <w:spacing w:line="264" w:lineRule="auto"/>
                          <w:rPr>
                            <w:rFonts w:ascii="Times New Roman" w:eastAsia="Times New Roman" w:hAnsi="Times New Roman" w:cs="Times New Roman"/>
                            <w:sz w:val="20"/>
                            <w:szCs w:val="20"/>
                          </w:rPr>
                        </w:pPr>
                      </w:p>
                    </w:tc>
                  </w:tr>
                </w:tbl>
                <w:p w14:paraId="1E95DCE2" w14:textId="77777777" w:rsidR="0035330E" w:rsidRDefault="0035330E" w:rsidP="0035330E">
                  <w:pPr>
                    <w:spacing w:line="264" w:lineRule="auto"/>
                    <w:rPr>
                      <w:rFonts w:ascii="Times New Roman" w:eastAsia="Times New Roman" w:hAnsi="Times New Roman" w:cs="Times New Roman"/>
                      <w:sz w:val="20"/>
                      <w:szCs w:val="20"/>
                    </w:rPr>
                  </w:pPr>
                </w:p>
              </w:tc>
            </w:tr>
          </w:tbl>
          <w:p w14:paraId="2F75AAC4" w14:textId="77777777" w:rsidR="0035330E" w:rsidRDefault="0035330E">
            <w:pPr>
              <w:jc w:val="center"/>
              <w:rPr>
                <w:rFonts w:ascii="Times New Roman" w:eastAsia="Times New Roman" w:hAnsi="Times New Roman" w:cs="Times New Roman"/>
                <w:sz w:val="20"/>
                <w:szCs w:val="20"/>
              </w:rPr>
            </w:pPr>
          </w:p>
        </w:tc>
      </w:tr>
      <w:tr w:rsidR="0035330E" w14:paraId="23539751" w14:textId="77777777" w:rsidTr="0035330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5330E" w14:paraId="566D066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5330E" w14:paraId="554508EB" w14:textId="77777777">
                    <w:trPr>
                      <w:tblCellSpacing w:w="0" w:type="dxa"/>
                      <w:jc w:val="center"/>
                    </w:trPr>
                    <w:tc>
                      <w:tcPr>
                        <w:tcW w:w="3000" w:type="dxa"/>
                        <w:tcMar>
                          <w:top w:w="30" w:type="dxa"/>
                          <w:left w:w="75" w:type="dxa"/>
                          <w:bottom w:w="30" w:type="dxa"/>
                          <w:right w:w="75" w:type="dxa"/>
                        </w:tcMar>
                        <w:hideMark/>
                      </w:tcPr>
                      <w:p w14:paraId="354CABD8" w14:textId="77777777" w:rsidR="0035330E" w:rsidRDefault="0035330E">
                        <w:pPr>
                          <w:pStyle w:val="Heading4"/>
                          <w:jc w:val="center"/>
                          <w:rPr>
                            <w:rFonts w:eastAsia="Times New Roman"/>
                          </w:rPr>
                        </w:pPr>
                        <w:r>
                          <w:rPr>
                            <w:rFonts w:eastAsia="Times New Roman"/>
                          </w:rPr>
                          <w:t>Pharmaceutical Services Negotiating Committee</w:t>
                        </w:r>
                      </w:p>
                      <w:p w14:paraId="59693BE2" w14:textId="3DC80447" w:rsidR="0035330E" w:rsidRDefault="0035330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ABD0165" wp14:editId="23F9B601">
                              <wp:extent cx="609600" cy="304800"/>
                              <wp:effectExtent l="0" t="0" r="0" b="0"/>
                              <wp:docPr id="5" name="Picture 5">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FEB70D5" wp14:editId="16C85677">
                              <wp:extent cx="609600" cy="304800"/>
                              <wp:effectExtent l="0" t="0" r="0" b="0"/>
                              <wp:docPr id="4" name="Picture 4">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6547FDC" wp14:editId="22D93DAA">
                              <wp:extent cx="609600" cy="304800"/>
                              <wp:effectExtent l="0" t="0" r="0" b="0"/>
                              <wp:docPr id="3" name="Picture 3">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B9E4B9" wp14:editId="0F7A9958">
                              <wp:extent cx="609600" cy="304800"/>
                              <wp:effectExtent l="0" t="0" r="0" b="0"/>
                              <wp:docPr id="2" name="Picture 2">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52B32B5" w14:textId="77777777" w:rsidR="0035330E" w:rsidRDefault="0035330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1"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5330E" w14:paraId="00E17625" w14:textId="77777777" w:rsidTr="0035330E">
                    <w:trPr>
                      <w:trHeight w:val="121"/>
                      <w:tblCellSpacing w:w="0" w:type="dxa"/>
                      <w:jc w:val="center"/>
                    </w:trPr>
                    <w:tc>
                      <w:tcPr>
                        <w:tcW w:w="9000" w:type="dxa"/>
                        <w:tcMar>
                          <w:top w:w="150" w:type="dxa"/>
                          <w:left w:w="0" w:type="dxa"/>
                          <w:bottom w:w="0" w:type="dxa"/>
                          <w:right w:w="0" w:type="dxa"/>
                        </w:tcMar>
                        <w:vAlign w:val="center"/>
                        <w:hideMark/>
                      </w:tcPr>
                      <w:p w14:paraId="5473FDEE" w14:textId="457EA094" w:rsidR="0035330E" w:rsidRDefault="0035330E" w:rsidP="0035330E">
                        <w:pPr>
                          <w:rPr>
                            <w:rFonts w:ascii="Arial" w:eastAsia="Times New Roman" w:hAnsi="Arial" w:cs="Arial"/>
                            <w:color w:val="FFFFFF"/>
                            <w:sz w:val="17"/>
                            <w:szCs w:val="17"/>
                          </w:rPr>
                        </w:pPr>
                      </w:p>
                    </w:tc>
                  </w:tr>
                </w:tbl>
                <w:p w14:paraId="647E2562" w14:textId="77777777" w:rsidR="0035330E" w:rsidRDefault="0035330E">
                  <w:pPr>
                    <w:jc w:val="center"/>
                    <w:rPr>
                      <w:rFonts w:ascii="Times New Roman" w:eastAsia="Times New Roman" w:hAnsi="Times New Roman" w:cs="Times New Roman"/>
                      <w:sz w:val="20"/>
                      <w:szCs w:val="20"/>
                    </w:rPr>
                  </w:pPr>
                </w:p>
              </w:tc>
            </w:tr>
          </w:tbl>
          <w:p w14:paraId="2F9C897F" w14:textId="77777777" w:rsidR="0035330E" w:rsidRDefault="0035330E">
            <w:pPr>
              <w:jc w:val="center"/>
              <w:rPr>
                <w:rFonts w:ascii="Times New Roman" w:eastAsia="Times New Roman" w:hAnsi="Times New Roman" w:cs="Times New Roman"/>
                <w:sz w:val="20"/>
                <w:szCs w:val="20"/>
              </w:rPr>
            </w:pPr>
          </w:p>
        </w:tc>
      </w:tr>
    </w:tbl>
    <w:p w14:paraId="58E0D185" w14:textId="129A9662" w:rsidR="0035330E" w:rsidRDefault="0035330E" w:rsidP="0035330E">
      <w:pPr>
        <w:rPr>
          <w:rFonts w:eastAsia="Times New Roman"/>
        </w:rPr>
      </w:pPr>
      <w:r>
        <w:rPr>
          <w:rFonts w:eastAsia="Times New Roman"/>
          <w:noProof/>
        </w:rPr>
        <w:drawing>
          <wp:inline distT="0" distB="0" distL="0" distR="0" wp14:anchorId="10888A31" wp14:editId="5CDC830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BAE85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0E"/>
    <w:rsid w:val="0035330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56F6"/>
  <w15:chartTrackingRefBased/>
  <w15:docId w15:val="{8C49D274-EB04-4114-9137-40D1D7C7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0E"/>
    <w:rPr>
      <w:rFonts w:ascii="Calibri" w:hAnsi="Calibri" w:cs="Calibri"/>
      <w:lang w:eastAsia="en-GB"/>
    </w:rPr>
  </w:style>
  <w:style w:type="paragraph" w:styleId="Heading1">
    <w:name w:val="heading 1"/>
    <w:basedOn w:val="Normal"/>
    <w:link w:val="Heading1Char"/>
    <w:uiPriority w:val="9"/>
    <w:qFormat/>
    <w:rsid w:val="0035330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5330E"/>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5330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30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5330E"/>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5330E"/>
    <w:rPr>
      <w:rFonts w:ascii="Tahoma" w:hAnsi="Tahoma" w:cs="Tahoma"/>
      <w:b/>
      <w:bCs/>
      <w:color w:val="FFFFFF"/>
      <w:sz w:val="18"/>
      <w:szCs w:val="18"/>
      <w:lang w:eastAsia="en-GB"/>
    </w:rPr>
  </w:style>
  <w:style w:type="paragraph" w:styleId="NormalWeb">
    <w:name w:val="Normal (Web)"/>
    <w:basedOn w:val="Normal"/>
    <w:uiPriority w:val="99"/>
    <w:semiHidden/>
    <w:unhideWhenUsed/>
    <w:rsid w:val="0035330E"/>
    <w:pPr>
      <w:spacing w:before="100" w:beforeAutospacing="1" w:after="100" w:afterAutospacing="1"/>
    </w:pPr>
  </w:style>
  <w:style w:type="character" w:styleId="Strong">
    <w:name w:val="Strong"/>
    <w:basedOn w:val="DefaultParagraphFont"/>
    <w:uiPriority w:val="22"/>
    <w:qFormat/>
    <w:rsid w:val="0035330E"/>
    <w:rPr>
      <w:b/>
      <w:bCs/>
    </w:rPr>
  </w:style>
  <w:style w:type="character" w:styleId="Hyperlink">
    <w:name w:val="Hyperlink"/>
    <w:basedOn w:val="DefaultParagraphFont"/>
    <w:uiPriority w:val="99"/>
    <w:semiHidden/>
    <w:unhideWhenUsed/>
    <w:rsid w:val="00353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64bf99a84&amp;e=d19e9fd41c" TargetMode="External"/><Relationship Id="rId13" Type="http://schemas.openxmlformats.org/officeDocument/2006/relationships/image" Target="media/image4.png"/><Relationship Id="rId18" Type="http://schemas.openxmlformats.org/officeDocument/2006/relationships/hyperlink" Target="https://psnc.us7.list-manage.com/track/click?u=86d41ab7fa4c7c2c5d7210782&amp;id=6f9b0216c7&amp;e=d19e9fd41c" TargetMode="External"/><Relationship Id="rId3" Type="http://schemas.openxmlformats.org/officeDocument/2006/relationships/webSettings" Target="webSettings.xml"/><Relationship Id="rId21" Type="http://schemas.openxmlformats.org/officeDocument/2006/relationships/hyperlink" Target="mailto:info@psnc.org.uk"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96770f0d7&amp;e=d19e9fd41c" TargetMode="External"/><Relationship Id="rId17" Type="http://schemas.openxmlformats.org/officeDocument/2006/relationships/image" Target="https://gallery.mailchimp.com/86d41ab7fa4c7c2c5d7210782/images/cd088afd-0ac0-4498-8ed1-e4199bf882ce.p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https://gallery.mailchimp.com/86d41ab7fa4c7c2c5d7210782/images/f5c0845f-f39c-425d-8d3c-deff11493c50.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gallery.mailchimp.com/86d41ab7fa4c7c2c5d7210782/images/5acd9cf1-bdba-4039-b74f-638b444ff5d8.png" TargetMode="External"/><Relationship Id="rId24"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e2d34013e5&amp;e=d19e9fd41c" TargetMode="External"/><Relationship Id="rId23" Type="http://schemas.openxmlformats.org/officeDocument/2006/relationships/image" Target="https://psnc.us7.list-manage.com/track/open.php?u=86d41ab7fa4c7c2c5d7210782&amp;id=265c7a5569&amp;e=d19e9fd41c"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s://psnc.us7.list-manage.com/track/click?u=86d41ab7fa4c7c2c5d7210782&amp;id=890b9aa22e&amp;e=d19e9fd41c" TargetMode="External"/><Relationship Id="rId14" Type="http://schemas.openxmlformats.org/officeDocument/2006/relationships/image" Target="https://gallery.mailchimp.com/86d41ab7fa4c7c2c5d7210782/images/e1475f6b-1081-4509-ab25-9cd7f83d26b2.png" TargetMode="External"/><Relationship Id="rId22"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2022-10-10T08:14:00Z</dcterms:created>
  <dcterms:modified xsi:type="dcterms:W3CDTF">2022-10-10T08:16:00Z</dcterms:modified>
</cp:coreProperties>
</file>