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E312E6" w14:paraId="0E50FA40" w14:textId="77777777" w:rsidTr="00E312E6">
        <w:trPr>
          <w:tblCellSpacing w:w="0" w:type="dxa"/>
          <w:jc w:val="center"/>
        </w:trPr>
        <w:tc>
          <w:tcPr>
            <w:tcW w:w="0" w:type="auto"/>
            <w:shd w:val="clear" w:color="auto" w:fill="FFFFFF"/>
          </w:tcPr>
          <w:tbl>
            <w:tblPr>
              <w:tblW w:w="9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312E6" w14:paraId="53D658C3" w14:textId="77777777">
              <w:trPr>
                <w:tblCellSpacing w:w="0" w:type="dxa"/>
                <w:jc w:val="center"/>
              </w:trPr>
              <w:tc>
                <w:tcPr>
                  <w:tcW w:w="0" w:type="auto"/>
                  <w:shd w:val="clear" w:color="auto" w:fill="4E3487"/>
                  <w:hideMark/>
                </w:tcPr>
                <w:tbl>
                  <w:tblPr>
                    <w:tblW w:w="9000" w:type="dxa"/>
                    <w:jc w:val="center"/>
                    <w:tblCellSpacing w:w="0" w:type="dxa"/>
                    <w:tblCellMar>
                      <w:top w:w="30" w:type="dxa"/>
                      <w:left w:w="30" w:type="dxa"/>
                      <w:bottom w:w="30" w:type="dxa"/>
                      <w:right w:w="30" w:type="dxa"/>
                    </w:tblCellMar>
                    <w:tblLook w:val="04A0" w:firstRow="1" w:lastRow="0" w:firstColumn="1" w:lastColumn="0" w:noHBand="0" w:noVBand="1"/>
                  </w:tblPr>
                  <w:tblGrid>
                    <w:gridCol w:w="9000"/>
                  </w:tblGrid>
                  <w:tr w:rsidR="00E312E6" w14:paraId="7DC10143" w14:textId="77777777">
                    <w:trPr>
                      <w:tblCellSpacing w:w="0" w:type="dxa"/>
                      <w:jc w:val="center"/>
                    </w:trPr>
                    <w:tc>
                      <w:tcPr>
                        <w:tcW w:w="3000" w:type="dxa"/>
                        <w:hideMark/>
                      </w:tcPr>
                      <w:p w14:paraId="0E235D5A" w14:textId="5A5D14BB" w:rsidR="00E312E6" w:rsidRDefault="00E312E6">
                        <w:pPr>
                          <w:spacing w:line="264" w:lineRule="auto"/>
                          <w:jc w:val="center"/>
                          <w:rPr>
                            <w:rFonts w:ascii="Tahoma" w:eastAsia="Times New Roman" w:hAnsi="Tahoma" w:cs="Tahoma"/>
                            <w:color w:val="FFFFFF"/>
                            <w:sz w:val="17"/>
                            <w:szCs w:val="17"/>
                          </w:rPr>
                        </w:pPr>
                        <w:r>
                          <w:rPr>
                            <w:rFonts w:ascii="Tahoma" w:eastAsia="Times New Roman" w:hAnsi="Tahoma" w:cs="Tahoma"/>
                            <w:color w:val="FFFFFF"/>
                            <w:sz w:val="17"/>
                            <w:szCs w:val="17"/>
                          </w:rPr>
                          <w:t xml:space="preserve"> </w:t>
                        </w:r>
                      </w:p>
                    </w:tc>
                  </w:tr>
                </w:tbl>
                <w:p w14:paraId="705A50B0" w14:textId="77777777" w:rsidR="00E312E6" w:rsidRDefault="00E312E6">
                  <w:pPr>
                    <w:jc w:val="center"/>
                    <w:rPr>
                      <w:rFonts w:ascii="Times New Roman" w:eastAsia="Times New Roman" w:hAnsi="Times New Roman" w:cs="Times New Roman"/>
                      <w:sz w:val="20"/>
                      <w:szCs w:val="20"/>
                    </w:rPr>
                  </w:pPr>
                </w:p>
              </w:tc>
            </w:tr>
            <w:tr w:rsidR="00E312E6" w14:paraId="360B5F7F" w14:textId="77777777">
              <w:tblPrEx>
                <w:shd w:val="clear" w:color="auto" w:fill="auto"/>
              </w:tblPrEx>
              <w:trPr>
                <w:tblCellSpacing w:w="0" w:type="dxa"/>
                <w:jc w:val="center"/>
              </w:trPr>
              <w:tc>
                <w:tcPr>
                  <w:tcW w:w="0" w:type="auto"/>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E312E6" w14:paraId="07EA36EF" w14:textId="77777777">
                    <w:trPr>
                      <w:gridAfter w:val="1"/>
                      <w:wAfter w:w="3450" w:type="dxa"/>
                      <w:trHeight w:val="230"/>
                      <w:tblCellSpacing w:w="0" w:type="dxa"/>
                    </w:trPr>
                    <w:tc>
                      <w:tcPr>
                        <w:tcW w:w="2700" w:type="dxa"/>
                        <w:vMerge w:val="restart"/>
                        <w:tcBorders>
                          <w:top w:val="nil"/>
                          <w:left w:val="nil"/>
                          <w:bottom w:val="single" w:sz="2" w:space="0" w:color="FFFFFF"/>
                          <w:right w:val="nil"/>
                        </w:tcBorders>
                        <w:vAlign w:val="center"/>
                        <w:hideMark/>
                      </w:tcPr>
                      <w:p w14:paraId="730AFF1F" w14:textId="1BFD48E5" w:rsidR="00E312E6" w:rsidRDefault="00E312E6">
                        <w:pPr>
                          <w:jc w:val="center"/>
                          <w:rPr>
                            <w:rFonts w:eastAsia="Times New Roman"/>
                          </w:rPr>
                        </w:pPr>
                        <w:r>
                          <w:rPr>
                            <w:rFonts w:eastAsia="Times New Roman"/>
                            <w:noProof/>
                          </w:rPr>
                          <w:drawing>
                            <wp:inline distT="0" distB="0" distL="0" distR="0" wp14:anchorId="75EB62C5" wp14:editId="31C98B99">
                              <wp:extent cx="933450" cy="6667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933450" cy="666750"/>
                                      </a:xfrm>
                                      <a:prstGeom prst="rect">
                                        <a:avLst/>
                                      </a:prstGeom>
                                      <a:noFill/>
                                      <a:ln>
                                        <a:noFill/>
                                      </a:ln>
                                    </pic:spPr>
                                  </pic:pic>
                                </a:graphicData>
                              </a:graphic>
                            </wp:inline>
                          </w:drawing>
                        </w:r>
                      </w:p>
                    </w:tc>
                  </w:tr>
                  <w:tr w:rsidR="00E312E6" w14:paraId="3EF7B85E" w14:textId="77777777">
                    <w:trPr>
                      <w:tblCellSpacing w:w="0" w:type="dxa"/>
                    </w:trPr>
                    <w:tc>
                      <w:tcPr>
                        <w:tcW w:w="0" w:type="auto"/>
                        <w:vMerge/>
                        <w:tcBorders>
                          <w:top w:val="nil"/>
                          <w:left w:val="nil"/>
                          <w:bottom w:val="single" w:sz="2" w:space="0" w:color="FFFFFF"/>
                          <w:right w:val="nil"/>
                        </w:tcBorders>
                        <w:vAlign w:val="center"/>
                        <w:hideMark/>
                      </w:tcPr>
                      <w:p w14:paraId="3F4A2D3D" w14:textId="77777777" w:rsidR="00E312E6" w:rsidRDefault="00E312E6">
                        <w:pPr>
                          <w:rPr>
                            <w:rFonts w:eastAsia="Times New Roman"/>
                          </w:rPr>
                        </w:pPr>
                      </w:p>
                    </w:tc>
                    <w:tc>
                      <w:tcPr>
                        <w:tcW w:w="3450" w:type="dxa"/>
                        <w:tcBorders>
                          <w:top w:val="nil"/>
                          <w:left w:val="nil"/>
                          <w:bottom w:val="nil"/>
                          <w:right w:val="nil"/>
                        </w:tcBorders>
                        <w:vAlign w:val="center"/>
                        <w:hideMark/>
                      </w:tcPr>
                      <w:p w14:paraId="1BB662C4" w14:textId="77777777" w:rsidR="00E312E6" w:rsidRDefault="00E312E6">
                        <w:pPr>
                          <w:pStyle w:val="Heading1"/>
                          <w:rPr>
                            <w:rFonts w:eastAsia="Times New Roman"/>
                          </w:rPr>
                        </w:pPr>
                        <w:r>
                          <w:rPr>
                            <w:rFonts w:eastAsia="Times New Roman"/>
                          </w:rPr>
                          <w:t>PSNC Newsletter</w:t>
                        </w:r>
                      </w:p>
                    </w:tc>
                  </w:tr>
                  <w:tr w:rsidR="00E312E6" w14:paraId="0DD66AA2" w14:textId="77777777">
                    <w:trPr>
                      <w:tblCellSpacing w:w="0" w:type="dxa"/>
                    </w:trPr>
                    <w:tc>
                      <w:tcPr>
                        <w:tcW w:w="0" w:type="auto"/>
                        <w:vMerge/>
                        <w:tcBorders>
                          <w:top w:val="nil"/>
                          <w:left w:val="nil"/>
                          <w:bottom w:val="single" w:sz="2" w:space="0" w:color="FFFFFF"/>
                          <w:right w:val="nil"/>
                        </w:tcBorders>
                        <w:vAlign w:val="center"/>
                        <w:hideMark/>
                      </w:tcPr>
                      <w:p w14:paraId="4068CCB5" w14:textId="77777777" w:rsidR="00E312E6" w:rsidRDefault="00E312E6">
                        <w:pPr>
                          <w:rPr>
                            <w:rFonts w:eastAsia="Times New Roman"/>
                          </w:rPr>
                        </w:pPr>
                      </w:p>
                    </w:tc>
                    <w:tc>
                      <w:tcPr>
                        <w:tcW w:w="3450" w:type="dxa"/>
                        <w:tcBorders>
                          <w:top w:val="nil"/>
                          <w:left w:val="nil"/>
                          <w:bottom w:val="nil"/>
                          <w:right w:val="nil"/>
                        </w:tcBorders>
                        <w:tcMar>
                          <w:top w:w="30" w:type="dxa"/>
                          <w:left w:w="0" w:type="dxa"/>
                          <w:bottom w:w="30" w:type="dxa"/>
                          <w:right w:w="0" w:type="dxa"/>
                        </w:tcMar>
                        <w:vAlign w:val="center"/>
                        <w:hideMark/>
                      </w:tcPr>
                      <w:p w14:paraId="0F821E70" w14:textId="77777777" w:rsidR="00E312E6" w:rsidRDefault="00E312E6">
                        <w:pPr>
                          <w:pStyle w:val="Heading2"/>
                          <w:rPr>
                            <w:rFonts w:eastAsia="Times New Roman"/>
                            <w:color w:val="93378A"/>
                          </w:rPr>
                        </w:pPr>
                        <w:r>
                          <w:rPr>
                            <w:rFonts w:eastAsia="Times New Roman"/>
                            <w:color w:val="93378A"/>
                          </w:rPr>
                          <w:t>Friday 23rd September 2022</w:t>
                        </w:r>
                      </w:p>
                    </w:tc>
                  </w:tr>
                </w:tbl>
                <w:p w14:paraId="75C58850" w14:textId="77777777" w:rsidR="00E312E6" w:rsidRDefault="00E312E6">
                  <w:pPr>
                    <w:rPr>
                      <w:rFonts w:ascii="Times New Roman" w:eastAsia="Times New Roman" w:hAnsi="Times New Roman" w:cs="Times New Roman"/>
                      <w:sz w:val="20"/>
                      <w:szCs w:val="20"/>
                    </w:rPr>
                  </w:pPr>
                </w:p>
              </w:tc>
            </w:tr>
            <w:tr w:rsidR="00E312E6" w14:paraId="651E296C" w14:textId="77777777">
              <w:tblPrEx>
                <w:shd w:val="clear" w:color="auto" w:fill="auto"/>
              </w:tblPrEx>
              <w:trPr>
                <w:tblCellSpacing w:w="0" w:type="dxa"/>
                <w:jc w:val="center"/>
              </w:trPr>
              <w:tc>
                <w:tcPr>
                  <w:tcW w:w="9000" w:type="dxa"/>
                  <w:hideMark/>
                </w:tcPr>
                <w:p w14:paraId="6D5B5D7B" w14:textId="71D5D797" w:rsidR="00E312E6" w:rsidRDefault="00E312E6">
                  <w:pPr>
                    <w:rPr>
                      <w:rFonts w:eastAsia="Times New Roman"/>
                    </w:rPr>
                  </w:pPr>
                  <w:r>
                    <w:rPr>
                      <w:rFonts w:eastAsia="Times New Roman"/>
                      <w:noProof/>
                    </w:rPr>
                    <w:drawing>
                      <wp:inline distT="0" distB="0" distL="0" distR="0" wp14:anchorId="62390E29" wp14:editId="0D93955D">
                        <wp:extent cx="5715000"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15000" cy="209550"/>
                                </a:xfrm>
                                <a:prstGeom prst="rect">
                                  <a:avLst/>
                                </a:prstGeom>
                                <a:noFill/>
                                <a:ln>
                                  <a:noFill/>
                                </a:ln>
                              </pic:spPr>
                            </pic:pic>
                          </a:graphicData>
                        </a:graphic>
                      </wp:inline>
                    </w:drawing>
                  </w:r>
                </w:p>
              </w:tc>
            </w:tr>
            <w:tr w:rsidR="00E312E6" w14:paraId="151DDDE8" w14:textId="77777777">
              <w:tblPrEx>
                <w:shd w:val="clear" w:color="auto" w:fill="auto"/>
              </w:tblPrEx>
              <w:trPr>
                <w:tblCellSpacing w:w="0" w:type="dxa"/>
                <w:jc w:val="center"/>
              </w:trPr>
              <w:tc>
                <w:tcPr>
                  <w:tcW w:w="9000" w:type="dxa"/>
                  <w:hideMark/>
                </w:tcPr>
                <w:tbl>
                  <w:tblPr>
                    <w:tblW w:w="9000" w:type="dxa"/>
                    <w:jc w:val="center"/>
                    <w:tblCellSpacing w:w="15" w:type="dxa"/>
                    <w:tblCellMar>
                      <w:left w:w="0" w:type="dxa"/>
                      <w:right w:w="0" w:type="dxa"/>
                    </w:tblCellMar>
                    <w:tblLook w:val="04A0" w:firstRow="1" w:lastRow="0" w:firstColumn="1" w:lastColumn="0" w:noHBand="0" w:noVBand="1"/>
                  </w:tblPr>
                  <w:tblGrid>
                    <w:gridCol w:w="192"/>
                    <w:gridCol w:w="8616"/>
                    <w:gridCol w:w="192"/>
                  </w:tblGrid>
                  <w:tr w:rsidR="00E312E6" w14:paraId="13B28637" w14:textId="77777777">
                    <w:trPr>
                      <w:trHeight w:val="150"/>
                      <w:tblCellSpacing w:w="15" w:type="dxa"/>
                      <w:jc w:val="center"/>
                    </w:trPr>
                    <w:tc>
                      <w:tcPr>
                        <w:tcW w:w="150" w:type="dxa"/>
                        <w:vAlign w:val="center"/>
                        <w:hideMark/>
                      </w:tcPr>
                      <w:p w14:paraId="51280A3F" w14:textId="77777777" w:rsidR="00E312E6" w:rsidRDefault="00E312E6">
                        <w:pPr>
                          <w:rPr>
                            <w:rFonts w:eastAsia="Times New Roman"/>
                          </w:rPr>
                        </w:pPr>
                      </w:p>
                    </w:tc>
                    <w:tc>
                      <w:tcPr>
                        <w:tcW w:w="8700" w:type="dxa"/>
                        <w:vAlign w:val="center"/>
                        <w:hideMark/>
                      </w:tcPr>
                      <w:p w14:paraId="081DEFF4" w14:textId="77777777" w:rsidR="00E312E6" w:rsidRDefault="00E312E6">
                        <w:pPr>
                          <w:rPr>
                            <w:rFonts w:ascii="Times New Roman" w:eastAsia="Times New Roman" w:hAnsi="Times New Roman" w:cs="Times New Roman"/>
                            <w:sz w:val="20"/>
                            <w:szCs w:val="20"/>
                          </w:rPr>
                        </w:pPr>
                      </w:p>
                    </w:tc>
                    <w:tc>
                      <w:tcPr>
                        <w:tcW w:w="150" w:type="dxa"/>
                        <w:vAlign w:val="center"/>
                        <w:hideMark/>
                      </w:tcPr>
                      <w:p w14:paraId="7F8B07AD" w14:textId="77777777" w:rsidR="00E312E6" w:rsidRDefault="00E312E6">
                        <w:pPr>
                          <w:rPr>
                            <w:rFonts w:ascii="Times New Roman" w:eastAsia="Times New Roman" w:hAnsi="Times New Roman" w:cs="Times New Roman"/>
                            <w:sz w:val="20"/>
                            <w:szCs w:val="20"/>
                          </w:rPr>
                        </w:pPr>
                      </w:p>
                    </w:tc>
                  </w:tr>
                  <w:tr w:rsidR="00E312E6" w14:paraId="13850F1E" w14:textId="77777777">
                    <w:trPr>
                      <w:tblCellSpacing w:w="15" w:type="dxa"/>
                      <w:jc w:val="center"/>
                    </w:trPr>
                    <w:tc>
                      <w:tcPr>
                        <w:tcW w:w="150" w:type="dxa"/>
                        <w:vAlign w:val="center"/>
                        <w:hideMark/>
                      </w:tcPr>
                      <w:p w14:paraId="42D3A3F4" w14:textId="77777777" w:rsidR="00E312E6" w:rsidRDefault="00E312E6">
                        <w:pPr>
                          <w:rPr>
                            <w:rFonts w:ascii="Times New Roman" w:eastAsia="Times New Roman" w:hAnsi="Times New Roman" w:cs="Times New Roman"/>
                            <w:sz w:val="20"/>
                            <w:szCs w:val="20"/>
                          </w:rPr>
                        </w:pPr>
                      </w:p>
                    </w:tc>
                    <w:tc>
                      <w:tcPr>
                        <w:tcW w:w="8700" w:type="dxa"/>
                        <w:vAlign w:val="center"/>
                        <w:hideMark/>
                      </w:tcPr>
                      <w:p w14:paraId="4C45956A" w14:textId="77777777" w:rsidR="00E312E6" w:rsidRDefault="00E312E6" w:rsidP="00E312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 xml:space="preserve">This newsletter from PSNC is sent on Mondays, </w:t>
                        </w:r>
                        <w:proofErr w:type="gramStart"/>
                        <w:r>
                          <w:rPr>
                            <w:rFonts w:ascii="Tahoma" w:eastAsia="Times New Roman" w:hAnsi="Tahoma" w:cs="Tahoma"/>
                            <w:color w:val="303030"/>
                            <w:sz w:val="21"/>
                            <w:szCs w:val="21"/>
                          </w:rPr>
                          <w:t>Wednesdays</w:t>
                        </w:r>
                        <w:proofErr w:type="gramEnd"/>
                        <w:r>
                          <w:rPr>
                            <w:rFonts w:ascii="Tahoma" w:eastAsia="Times New Roman" w:hAnsi="Tahoma" w:cs="Tahoma"/>
                            <w:color w:val="303030"/>
                            <w:sz w:val="21"/>
                            <w:szCs w:val="21"/>
                          </w:rPr>
                          <w:t xml:space="preserve"> and Fridays. It contains important information for those that work in the community pharmacy sector.</w:t>
                        </w:r>
                      </w:p>
                      <w:p w14:paraId="2481F22E" w14:textId="77777777" w:rsidR="00E312E6" w:rsidRDefault="00E312E6" w:rsidP="00E312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1E118A1">
                            <v:rect id="_x0000_i1032" style="width:468pt;height:1.5pt" o:hrstd="t" o:hr="t" fillcolor="#a0a0a0" stroked="f"/>
                          </w:pict>
                        </w:r>
                      </w:p>
                      <w:p w14:paraId="28348D0E" w14:textId="77777777" w:rsidR="00E312E6" w:rsidRDefault="00E312E6" w:rsidP="00E312E6">
                        <w:pPr>
                          <w:pStyle w:val="Heading2"/>
                          <w:spacing w:after="0"/>
                          <w:rPr>
                            <w:rFonts w:eastAsia="Times New Roman"/>
                          </w:rPr>
                        </w:pPr>
                        <w:r>
                          <w:rPr>
                            <w:rFonts w:eastAsia="Times New Roman"/>
                          </w:rPr>
                          <w:t>In this update: Details of the new Pharmacy Quality Scheme 2022/23; Estraderm SSPs extended; price concessions update.</w:t>
                        </w:r>
                      </w:p>
                      <w:p w14:paraId="03140A5C" w14:textId="77777777" w:rsidR="00E312E6" w:rsidRDefault="00E312E6" w:rsidP="00E312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737ABB3E">
                            <v:rect id="_x0000_i1033" style="width:468pt;height:1.5pt" o:hrstd="t" o:hr="t" fillcolor="#a0a0a0" stroked="f"/>
                          </w:pict>
                        </w:r>
                      </w:p>
                      <w:p w14:paraId="32DE2EB5" w14:textId="77777777" w:rsidR="00E312E6" w:rsidRDefault="00E312E6" w:rsidP="00E312E6">
                        <w:pPr>
                          <w:pStyle w:val="Heading2"/>
                          <w:spacing w:after="0"/>
                          <w:rPr>
                            <w:rFonts w:eastAsia="Times New Roman"/>
                          </w:rPr>
                        </w:pPr>
                        <w:r>
                          <w:rPr>
                            <w:rFonts w:eastAsia="Times New Roman"/>
                          </w:rPr>
                          <w:t>Making a start on the new Pharmacy Quality Scheme 2022/23</w:t>
                        </w:r>
                      </w:p>
                      <w:p w14:paraId="10B2B3F2" w14:textId="3FF14112" w:rsidR="00E312E6" w:rsidRDefault="00E312E6" w:rsidP="00E312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Initial details of the new Pharmacy Quality Scheme (PQS) for this year have now been released as part of the </w:t>
                        </w:r>
                        <w:hyperlink r:id="rId8" w:tgtFrame="_blank" w:history="1">
                          <w:r>
                            <w:rPr>
                              <w:rStyle w:val="Hyperlink"/>
                              <w:rFonts w:ascii="Tahoma" w:eastAsia="Times New Roman" w:hAnsi="Tahoma" w:cs="Tahoma"/>
                              <w:b/>
                              <w:bCs/>
                              <w:color w:val="4E3487"/>
                              <w:sz w:val="21"/>
                              <w:szCs w:val="21"/>
                            </w:rPr>
                            <w:t>arrangements for the Community Pharmacy Contractual Framework (CPCF) in 2022/23 and 2023/24</w:t>
                          </w:r>
                        </w:hyperlink>
                        <w:r>
                          <w:rPr>
                            <w:rFonts w:ascii="Tahoma" w:eastAsia="Times New Roman" w:hAnsi="Tahoma" w:cs="Tahoma"/>
                            <w:color w:val="303030"/>
                            <w:sz w:val="21"/>
                            <w:szCs w:val="21"/>
                          </w:rPr>
                          <w:t xml:space="preserve">. </w:t>
                        </w:r>
                      </w:p>
                      <w:p w14:paraId="255A2209" w14:textId="77777777" w:rsidR="00E312E6" w:rsidRDefault="00E312E6" w:rsidP="00E312E6">
                        <w:pPr>
                          <w:spacing w:line="264" w:lineRule="auto"/>
                          <w:rPr>
                            <w:rFonts w:ascii="Tahoma" w:eastAsia="Times New Roman" w:hAnsi="Tahoma" w:cs="Tahoma"/>
                            <w:color w:val="303030"/>
                            <w:sz w:val="21"/>
                            <w:szCs w:val="21"/>
                          </w:rPr>
                        </w:pPr>
                      </w:p>
                      <w:p w14:paraId="32ADFB65" w14:textId="77777777" w:rsidR="00E312E6" w:rsidRDefault="00E312E6" w:rsidP="00E312E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the Department of Health and Social Care (DHSC) and NHS England have agreed the arrangements for the 2022/23 PQS, as well as those for the 2023/24 PQS, with a focus on supporting recovery from COVID-19 and wider national health priorities. The 2022/23 scheme will officially begin on </w:t>
                        </w:r>
                        <w:r>
                          <w:rPr>
                            <w:rStyle w:val="Strong"/>
                            <w:rFonts w:ascii="Tahoma" w:hAnsi="Tahoma" w:cs="Tahoma"/>
                            <w:color w:val="303030"/>
                            <w:sz w:val="21"/>
                            <w:szCs w:val="21"/>
                          </w:rPr>
                          <w:t>10th October 2022</w:t>
                        </w:r>
                        <w:r>
                          <w:rPr>
                            <w:rFonts w:ascii="Tahoma" w:hAnsi="Tahoma" w:cs="Tahoma"/>
                            <w:color w:val="303030"/>
                            <w:sz w:val="21"/>
                            <w:szCs w:val="21"/>
                          </w:rPr>
                          <w:t> and contractors will be able to claim an Aspiration payment if they wish to, later this year.</w:t>
                        </w:r>
                        <w:r>
                          <w:rPr>
                            <w:rFonts w:ascii="Tahoma" w:hAnsi="Tahoma" w:cs="Tahoma"/>
                            <w:color w:val="303030"/>
                            <w:sz w:val="21"/>
                            <w:szCs w:val="21"/>
                          </w:rPr>
                          <w:br/>
                        </w:r>
                        <w:r>
                          <w:rPr>
                            <w:rFonts w:ascii="Tahoma" w:hAnsi="Tahoma" w:cs="Tahoma"/>
                            <w:color w:val="303030"/>
                            <w:sz w:val="21"/>
                            <w:szCs w:val="21"/>
                          </w:rPr>
                          <w:br/>
                          <w:t>In our negotiations on the scheme, PSNC has managed to reduce the scope of this year’s PQS so that the estimated contractor costs and time required to complete the criteria will be below those associated with the original NHS proposals for the scheme. A further reduction in scope has also been agreed due to the delayed start of the 2022/23 PQS. </w:t>
                        </w:r>
                      </w:p>
                      <w:p w14:paraId="5792192C" w14:textId="77777777" w:rsidR="00E312E6" w:rsidRDefault="00E312E6" w:rsidP="00E312E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Where capacity allows contractors to get going with the PQS, we suggest they tackle the New Medicine Service gateway criterion and the training requirements first.</w:t>
                        </w:r>
                        <w:r>
                          <w:rPr>
                            <w:rFonts w:ascii="Tahoma" w:hAnsi="Tahoma" w:cs="Tahoma"/>
                            <w:color w:val="303030"/>
                            <w:sz w:val="21"/>
                            <w:szCs w:val="21"/>
                          </w:rPr>
                          <w:br/>
                        </w:r>
                        <w:r>
                          <w:rPr>
                            <w:rFonts w:ascii="Tahoma" w:hAnsi="Tahoma" w:cs="Tahoma"/>
                            <w:color w:val="303030"/>
                            <w:sz w:val="21"/>
                            <w:szCs w:val="21"/>
                          </w:rPr>
                          <w:br/>
                        </w:r>
                        <w:hyperlink r:id="rId9" w:tgtFrame="_blank" w:history="1">
                          <w:r>
                            <w:rPr>
                              <w:rStyle w:val="Hyperlink"/>
                              <w:rFonts w:ascii="Tahoma" w:hAnsi="Tahoma" w:cs="Tahoma"/>
                              <w:b/>
                              <w:bCs/>
                              <w:color w:val="4E3487"/>
                              <w:sz w:val="21"/>
                              <w:szCs w:val="21"/>
                            </w:rPr>
                            <w:t>Find out more about the 2022/23 PQS</w:t>
                          </w:r>
                        </w:hyperlink>
                      </w:p>
                      <w:p w14:paraId="1ADC91C4" w14:textId="77777777" w:rsidR="00E312E6" w:rsidRDefault="00E312E6" w:rsidP="00E312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466E22CC">
                            <v:rect id="_x0000_i1034" style="width:468pt;height:1.5pt" o:hrstd="t" o:hr="t" fillcolor="#a0a0a0" stroked="f"/>
                          </w:pict>
                        </w:r>
                      </w:p>
                      <w:p w14:paraId="1AD0CB72" w14:textId="77777777" w:rsidR="00E312E6" w:rsidRDefault="00E312E6" w:rsidP="00E312E6">
                        <w:pPr>
                          <w:pStyle w:val="Heading2"/>
                          <w:spacing w:after="0"/>
                          <w:rPr>
                            <w:rFonts w:eastAsia="Times New Roman"/>
                          </w:rPr>
                        </w:pPr>
                        <w:r>
                          <w:rPr>
                            <w:rFonts w:eastAsia="Times New Roman"/>
                          </w:rPr>
                          <w:t>SSP035 and SSP036 extended</w:t>
                        </w:r>
                      </w:p>
                      <w:p w14:paraId="57199394" w14:textId="0DD88C96" w:rsidR="00E312E6" w:rsidRDefault="00E312E6" w:rsidP="00E312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The Serious Shortage Protocols (SSPs) for Estraderm MX® 25mcg (SSP035) and 100mcg patches (SSP036) have been further extended to </w:t>
                        </w:r>
                        <w:r>
                          <w:rPr>
                            <w:rStyle w:val="Strong"/>
                            <w:rFonts w:ascii="Tahoma" w:eastAsia="Times New Roman" w:hAnsi="Tahoma" w:cs="Tahoma"/>
                            <w:color w:val="303030"/>
                            <w:sz w:val="21"/>
                            <w:szCs w:val="21"/>
                          </w:rPr>
                          <w:t>Friday 30th September 2022</w:t>
                        </w:r>
                        <w:r>
                          <w:rPr>
                            <w:rFonts w:ascii="Tahoma" w:eastAsia="Times New Roman" w:hAnsi="Tahoma" w:cs="Tahoma"/>
                            <w:color w:val="303030"/>
                            <w:sz w:val="21"/>
                            <w:szCs w:val="21"/>
                          </w:rPr>
                          <w:t xml:space="preserve">. These SSPs were originally due to expire on 16th September. </w:t>
                        </w:r>
                      </w:p>
                      <w:p w14:paraId="47961DC0" w14:textId="77777777" w:rsidR="00E312E6" w:rsidRDefault="00E312E6" w:rsidP="00E312E6">
                        <w:pPr>
                          <w:spacing w:line="264" w:lineRule="auto"/>
                          <w:rPr>
                            <w:rFonts w:ascii="Tahoma" w:eastAsia="Times New Roman" w:hAnsi="Tahoma" w:cs="Tahoma"/>
                            <w:color w:val="303030"/>
                            <w:sz w:val="21"/>
                            <w:szCs w:val="21"/>
                          </w:rPr>
                        </w:pPr>
                      </w:p>
                      <w:p w14:paraId="0B3F7354" w14:textId="77777777" w:rsidR="00E312E6" w:rsidRDefault="00E312E6" w:rsidP="00E312E6">
                        <w:pPr>
                          <w:pStyle w:val="NormalWeb"/>
                          <w:spacing w:before="0" w:beforeAutospacing="0" w:after="0" w:afterAutospacing="0" w:line="264" w:lineRule="auto"/>
                          <w:rPr>
                            <w:rFonts w:ascii="Tahoma" w:hAnsi="Tahoma" w:cs="Tahoma"/>
                            <w:color w:val="303030"/>
                            <w:sz w:val="21"/>
                            <w:szCs w:val="21"/>
                          </w:rPr>
                        </w:pPr>
                        <w:hyperlink r:id="rId10" w:tgtFrame="_blank" w:history="1">
                          <w:r>
                            <w:rPr>
                              <w:rStyle w:val="Hyperlink"/>
                              <w:rFonts w:ascii="Tahoma" w:hAnsi="Tahoma" w:cs="Tahoma"/>
                              <w:b/>
                              <w:bCs/>
                              <w:color w:val="4E3487"/>
                              <w:sz w:val="21"/>
                              <w:szCs w:val="21"/>
                            </w:rPr>
                            <w:t>Learn more about SSP035 and SSP036</w:t>
                          </w:r>
                        </w:hyperlink>
                      </w:p>
                      <w:p w14:paraId="1C3819D6" w14:textId="77777777" w:rsidR="00E312E6" w:rsidRDefault="00E312E6" w:rsidP="00E312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pict w14:anchorId="0A39CDE5">
                            <v:rect id="_x0000_i1035" style="width:468pt;height:1.5pt" o:hrstd="t" o:hr="t" fillcolor="#a0a0a0" stroked="f"/>
                          </w:pict>
                        </w:r>
                      </w:p>
                      <w:p w14:paraId="2F43E2B0" w14:textId="77777777" w:rsidR="00E312E6" w:rsidRDefault="00E312E6" w:rsidP="00E312E6">
                        <w:pPr>
                          <w:pStyle w:val="Heading3"/>
                          <w:spacing w:after="0"/>
                          <w:rPr>
                            <w:rFonts w:eastAsia="Times New Roman"/>
                          </w:rPr>
                        </w:pPr>
                        <w:r>
                          <w:rPr>
                            <w:rFonts w:eastAsia="Times New Roman"/>
                          </w:rPr>
                          <w:t>September Price Concessions: Third Update</w:t>
                        </w:r>
                      </w:p>
                      <w:p w14:paraId="5A5C3967" w14:textId="65001E9F" w:rsidR="00E312E6" w:rsidRDefault="00E312E6" w:rsidP="00E312E6">
                        <w:pPr>
                          <w:spacing w:line="264" w:lineRule="auto"/>
                          <w:rPr>
                            <w:rFonts w:ascii="Tahoma" w:eastAsia="Times New Roman" w:hAnsi="Tahoma" w:cs="Tahoma"/>
                            <w:color w:val="303030"/>
                            <w:sz w:val="21"/>
                            <w:szCs w:val="21"/>
                          </w:rPr>
                        </w:pPr>
                        <w:r>
                          <w:rPr>
                            <w:rFonts w:ascii="Tahoma" w:eastAsia="Times New Roman" w:hAnsi="Tahoma" w:cs="Tahoma"/>
                            <w:color w:val="303030"/>
                            <w:sz w:val="21"/>
                            <w:szCs w:val="21"/>
                          </w:rPr>
                          <w:t>DHSC has granted an updated list of price concessions for September 2022. Please note that a price concession only applies for the month in which it is granted.</w:t>
                        </w:r>
                        <w:r>
                          <w:rPr>
                            <w:rFonts w:ascii="Tahoma" w:eastAsia="Times New Roman" w:hAnsi="Tahoma" w:cs="Tahoma"/>
                            <w:color w:val="303030"/>
                            <w:sz w:val="21"/>
                            <w:szCs w:val="21"/>
                          </w:rPr>
                          <w:br/>
                        </w:r>
                        <w:r>
                          <w:rPr>
                            <w:rFonts w:ascii="Tahoma" w:eastAsia="Times New Roman" w:hAnsi="Tahoma" w:cs="Tahoma"/>
                            <w:color w:val="303030"/>
                            <w:sz w:val="21"/>
                            <w:szCs w:val="21"/>
                          </w:rPr>
                          <w:lastRenderedPageBreak/>
                          <w:br/>
                        </w:r>
                        <w:hyperlink r:id="rId11" w:tgtFrame="_blank" w:history="1">
                          <w:r>
                            <w:rPr>
                              <w:rStyle w:val="Hyperlink"/>
                              <w:rFonts w:ascii="Tahoma" w:eastAsia="Times New Roman" w:hAnsi="Tahoma" w:cs="Tahoma"/>
                              <w:b/>
                              <w:bCs/>
                              <w:color w:val="4E3487"/>
                              <w:sz w:val="21"/>
                              <w:szCs w:val="21"/>
                            </w:rPr>
                            <w:t>See the updated September price concessions list</w:t>
                          </w:r>
                        </w:hyperlink>
                        <w:r>
                          <w:rPr>
                            <w:rFonts w:ascii="Tahoma" w:eastAsia="Times New Roman" w:hAnsi="Tahoma" w:cs="Tahoma"/>
                            <w:color w:val="303030"/>
                            <w:sz w:val="21"/>
                            <w:szCs w:val="21"/>
                          </w:rPr>
                          <w:t xml:space="preserve"> </w:t>
                        </w:r>
                      </w:p>
                      <w:p w14:paraId="50A3ABBA" w14:textId="77777777" w:rsidR="00E312E6" w:rsidRDefault="00E312E6" w:rsidP="00E312E6">
                        <w:pPr>
                          <w:spacing w:line="264" w:lineRule="auto"/>
                          <w:rPr>
                            <w:rFonts w:ascii="Tahoma" w:eastAsia="Times New Roman" w:hAnsi="Tahoma" w:cs="Tahoma"/>
                            <w:color w:val="303030"/>
                            <w:sz w:val="21"/>
                            <w:szCs w:val="21"/>
                          </w:rPr>
                        </w:pPr>
                      </w:p>
                      <w:p w14:paraId="1F12F87D" w14:textId="77777777" w:rsidR="00E312E6" w:rsidRDefault="00E312E6" w:rsidP="00E312E6">
                        <w:pPr>
                          <w:pStyle w:val="NormalWeb"/>
                          <w:spacing w:before="0" w:beforeAutospacing="0" w:after="0" w:afterAutospacing="0" w:line="264" w:lineRule="auto"/>
                          <w:rPr>
                            <w:rFonts w:ascii="Tahoma" w:hAnsi="Tahoma" w:cs="Tahoma"/>
                            <w:color w:val="303030"/>
                            <w:sz w:val="21"/>
                            <w:szCs w:val="21"/>
                          </w:rPr>
                        </w:pPr>
                        <w:r>
                          <w:rPr>
                            <w:rFonts w:ascii="Tahoma" w:hAnsi="Tahoma" w:cs="Tahoma"/>
                            <w:color w:val="303030"/>
                            <w:sz w:val="21"/>
                            <w:szCs w:val="21"/>
                          </w:rPr>
                          <w:t>PSNC is </w:t>
                        </w:r>
                        <w:hyperlink r:id="rId12" w:tgtFrame="_blank" w:history="1">
                          <w:r>
                            <w:rPr>
                              <w:rStyle w:val="Hyperlink"/>
                              <w:rFonts w:ascii="Tahoma" w:hAnsi="Tahoma" w:cs="Tahoma"/>
                              <w:b/>
                              <w:bCs/>
                              <w:color w:val="4E3487"/>
                              <w:sz w:val="21"/>
                              <w:szCs w:val="21"/>
                            </w:rPr>
                            <w:t>seeking improvements</w:t>
                          </w:r>
                        </w:hyperlink>
                        <w:r>
                          <w:rPr>
                            <w:rFonts w:ascii="Tahoma" w:hAnsi="Tahoma" w:cs="Tahoma"/>
                            <w:color w:val="303030"/>
                            <w:sz w:val="21"/>
                            <w:szCs w:val="21"/>
                          </w:rPr>
                          <w:t> to the current price concessions system following significant concerns raised by pharmacy contractors about the unsustainable level of prices, imposed by DHSC in the past few months, for certain medicines. To hear more on how the current price concessions system operates, pharmacy teams can now access a recording of PSNC’s recent webinar </w:t>
                        </w:r>
                        <w:hyperlink r:id="rId13" w:tgtFrame="_blank" w:history="1">
                          <w:r>
                            <w:rPr>
                              <w:rStyle w:val="Strong"/>
                              <w:rFonts w:ascii="Tahoma" w:hAnsi="Tahoma" w:cs="Tahoma"/>
                              <w:color w:val="4E3487"/>
                              <w:sz w:val="21"/>
                              <w:szCs w:val="21"/>
                            </w:rPr>
                            <w:t>here</w:t>
                          </w:r>
                        </w:hyperlink>
                        <w:r>
                          <w:rPr>
                            <w:rFonts w:ascii="Tahoma" w:hAnsi="Tahoma" w:cs="Tahoma"/>
                            <w:color w:val="303030"/>
                            <w:sz w:val="21"/>
                            <w:szCs w:val="21"/>
                          </w:rPr>
                          <w:t>.</w:t>
                        </w:r>
                      </w:p>
                    </w:tc>
                    <w:tc>
                      <w:tcPr>
                        <w:tcW w:w="150" w:type="dxa"/>
                        <w:vAlign w:val="center"/>
                        <w:hideMark/>
                      </w:tcPr>
                      <w:p w14:paraId="35D3A59C" w14:textId="77777777" w:rsidR="00E312E6" w:rsidRDefault="00E312E6">
                        <w:pPr>
                          <w:rPr>
                            <w:rFonts w:ascii="Tahoma" w:hAnsi="Tahoma" w:cs="Tahoma"/>
                            <w:color w:val="303030"/>
                            <w:sz w:val="21"/>
                            <w:szCs w:val="21"/>
                          </w:rPr>
                        </w:pPr>
                      </w:p>
                    </w:tc>
                  </w:tr>
                  <w:tr w:rsidR="00E312E6" w14:paraId="4E55708A" w14:textId="77777777">
                    <w:trPr>
                      <w:trHeight w:val="150"/>
                      <w:tblCellSpacing w:w="15" w:type="dxa"/>
                      <w:jc w:val="center"/>
                    </w:trPr>
                    <w:tc>
                      <w:tcPr>
                        <w:tcW w:w="150" w:type="dxa"/>
                        <w:vAlign w:val="center"/>
                        <w:hideMark/>
                      </w:tcPr>
                      <w:p w14:paraId="72A1A346" w14:textId="77777777" w:rsidR="00E312E6" w:rsidRDefault="00E312E6">
                        <w:pPr>
                          <w:rPr>
                            <w:rFonts w:ascii="Times New Roman" w:eastAsia="Times New Roman" w:hAnsi="Times New Roman" w:cs="Times New Roman"/>
                            <w:sz w:val="20"/>
                            <w:szCs w:val="20"/>
                          </w:rPr>
                        </w:pPr>
                      </w:p>
                    </w:tc>
                    <w:tc>
                      <w:tcPr>
                        <w:tcW w:w="8700" w:type="dxa"/>
                        <w:vAlign w:val="center"/>
                        <w:hideMark/>
                      </w:tcPr>
                      <w:p w14:paraId="3E01A92B" w14:textId="77777777" w:rsidR="00E312E6" w:rsidRDefault="00E312E6">
                        <w:pPr>
                          <w:rPr>
                            <w:rFonts w:ascii="Times New Roman" w:eastAsia="Times New Roman" w:hAnsi="Times New Roman" w:cs="Times New Roman"/>
                            <w:sz w:val="20"/>
                            <w:szCs w:val="20"/>
                          </w:rPr>
                        </w:pPr>
                      </w:p>
                    </w:tc>
                    <w:tc>
                      <w:tcPr>
                        <w:tcW w:w="150" w:type="dxa"/>
                        <w:vAlign w:val="center"/>
                        <w:hideMark/>
                      </w:tcPr>
                      <w:p w14:paraId="60C3B075" w14:textId="77777777" w:rsidR="00E312E6" w:rsidRDefault="00E312E6">
                        <w:pPr>
                          <w:rPr>
                            <w:rFonts w:ascii="Times New Roman" w:eastAsia="Times New Roman" w:hAnsi="Times New Roman" w:cs="Times New Roman"/>
                            <w:sz w:val="20"/>
                            <w:szCs w:val="20"/>
                          </w:rPr>
                        </w:pPr>
                      </w:p>
                    </w:tc>
                  </w:tr>
                </w:tbl>
                <w:p w14:paraId="3ECB3786" w14:textId="77777777" w:rsidR="00E312E6" w:rsidRDefault="00E312E6">
                  <w:pPr>
                    <w:jc w:val="center"/>
                    <w:rPr>
                      <w:rFonts w:ascii="Times New Roman" w:eastAsia="Times New Roman" w:hAnsi="Times New Roman" w:cs="Times New Roman"/>
                      <w:sz w:val="20"/>
                      <w:szCs w:val="20"/>
                    </w:rPr>
                  </w:pPr>
                </w:p>
              </w:tc>
            </w:tr>
          </w:tbl>
          <w:p w14:paraId="35D6D909" w14:textId="77777777" w:rsidR="00E312E6" w:rsidRDefault="00E312E6">
            <w:pPr>
              <w:jc w:val="center"/>
              <w:rPr>
                <w:rFonts w:ascii="Times New Roman" w:eastAsia="Times New Roman" w:hAnsi="Times New Roman" w:cs="Times New Roman"/>
                <w:sz w:val="20"/>
                <w:szCs w:val="20"/>
              </w:rPr>
            </w:pPr>
          </w:p>
        </w:tc>
      </w:tr>
      <w:tr w:rsidR="00E312E6" w14:paraId="155D4A14" w14:textId="77777777" w:rsidTr="00E312E6">
        <w:trPr>
          <w:trHeight w:val="1669"/>
          <w:tblCellSpacing w:w="0" w:type="dxa"/>
          <w:jc w:val="center"/>
        </w:trPr>
        <w:tc>
          <w:tcPr>
            <w:tcW w:w="0" w:type="auto"/>
            <w:shd w:val="clear" w:color="auto" w:fill="FFFFFF"/>
            <w:hideMark/>
          </w:tcPr>
          <w:tbl>
            <w:tblPr>
              <w:tblW w:w="3000" w:type="dxa"/>
              <w:jc w:val="center"/>
              <w:tblCellSpacing w:w="0" w:type="dxa"/>
              <w:shd w:val="clear" w:color="auto" w:fill="4E3487"/>
              <w:tblCellMar>
                <w:left w:w="0" w:type="dxa"/>
                <w:right w:w="0" w:type="dxa"/>
              </w:tblCellMar>
              <w:tblLook w:val="04A0" w:firstRow="1" w:lastRow="0" w:firstColumn="1" w:lastColumn="0" w:noHBand="0" w:noVBand="1"/>
            </w:tblPr>
            <w:tblGrid>
              <w:gridCol w:w="9000"/>
            </w:tblGrid>
            <w:tr w:rsidR="00E312E6" w14:paraId="68726D82" w14:textId="77777777">
              <w:trPr>
                <w:tblCellSpacing w:w="0" w:type="dxa"/>
                <w:jc w:val="center"/>
              </w:trPr>
              <w:tc>
                <w:tcPr>
                  <w:tcW w:w="0" w:type="auto"/>
                  <w:shd w:val="clear" w:color="auto" w:fill="4E3487"/>
                  <w:vAlign w:val="center"/>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E312E6" w14:paraId="52038E4B" w14:textId="77777777">
                    <w:trPr>
                      <w:tblCellSpacing w:w="0" w:type="dxa"/>
                      <w:jc w:val="center"/>
                    </w:trPr>
                    <w:tc>
                      <w:tcPr>
                        <w:tcW w:w="3000" w:type="dxa"/>
                        <w:tcMar>
                          <w:top w:w="30" w:type="dxa"/>
                          <w:left w:w="75" w:type="dxa"/>
                          <w:bottom w:w="30" w:type="dxa"/>
                          <w:right w:w="75" w:type="dxa"/>
                        </w:tcMar>
                        <w:hideMark/>
                      </w:tcPr>
                      <w:p w14:paraId="539D23C5" w14:textId="77777777" w:rsidR="00E312E6" w:rsidRDefault="00E312E6">
                        <w:pPr>
                          <w:pStyle w:val="Heading4"/>
                          <w:jc w:val="center"/>
                          <w:rPr>
                            <w:rFonts w:eastAsia="Times New Roman"/>
                          </w:rPr>
                        </w:pPr>
                        <w:r>
                          <w:rPr>
                            <w:rFonts w:eastAsia="Times New Roman"/>
                          </w:rPr>
                          <w:lastRenderedPageBreak/>
                          <w:t>Pharmaceutical Services Negotiating Committee</w:t>
                        </w:r>
                      </w:p>
                      <w:p w14:paraId="4E721116" w14:textId="2DD35E19" w:rsidR="00E312E6" w:rsidRDefault="00E312E6">
                        <w:pPr>
                          <w:jc w:val="center"/>
                          <w:rPr>
                            <w:rFonts w:ascii="Tahoma" w:eastAsia="Times New Roman" w:hAnsi="Tahoma" w:cs="Tahoma"/>
                            <w:color w:val="FFFFFF"/>
                            <w:sz w:val="18"/>
                            <w:szCs w:val="18"/>
                          </w:rPr>
                        </w:pPr>
                        <w:r>
                          <w:rPr>
                            <w:rFonts w:ascii="Tahoma" w:eastAsia="Times New Roman" w:hAnsi="Tahoma" w:cs="Tahoma"/>
                            <w:b/>
                            <w:noProof/>
                            <w:color w:val="FFFFFF"/>
                            <w:sz w:val="18"/>
                            <w:szCs w:val="18"/>
                          </w:rPr>
                          <w:drawing>
                            <wp:inline distT="0" distB="0" distL="0" distR="0" wp14:anchorId="669C7F3D" wp14:editId="347CABB0">
                              <wp:extent cx="609600" cy="304800"/>
                              <wp:effectExtent l="0" t="0" r="0" b="0"/>
                              <wp:docPr id="5" name="Picture 5">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CCA3814" wp14:editId="23741758">
                              <wp:extent cx="609600" cy="304800"/>
                              <wp:effectExtent l="0" t="0" r="0" b="0"/>
                              <wp:docPr id="4" name="Picture 4">
                                <a:hlinkClick xmlns:a="http://schemas.openxmlformats.org/drawingml/2006/main" r:id="rId1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14D626D8" wp14:editId="3EB35046">
                              <wp:extent cx="609600" cy="304800"/>
                              <wp:effectExtent l="0" t="0" r="0" b="0"/>
                              <wp:docPr id="3" name="Picture 3">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w:t>
                        </w:r>
                        <w:r>
                          <w:rPr>
                            <w:rFonts w:ascii="Tahoma" w:eastAsia="Times New Roman" w:hAnsi="Tahoma" w:cs="Tahoma"/>
                            <w:b/>
                            <w:noProof/>
                            <w:color w:val="FFFFFF"/>
                            <w:sz w:val="18"/>
                            <w:szCs w:val="18"/>
                          </w:rPr>
                          <w:drawing>
                            <wp:inline distT="0" distB="0" distL="0" distR="0" wp14:anchorId="769CDC32" wp14:editId="5CD3E303">
                              <wp:extent cx="609600" cy="304800"/>
                              <wp:effectExtent l="0" t="0" r="0" b="0"/>
                              <wp:docPr id="2" name="Picture 2">
                                <a:hlinkClick xmlns:a="http://schemas.openxmlformats.org/drawingml/2006/main" r:id="rId2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609600" cy="304800"/>
                                      </a:xfrm>
                                      <a:prstGeom prst="rect">
                                        <a:avLst/>
                                      </a:prstGeom>
                                      <a:noFill/>
                                      <a:ln>
                                        <a:noFill/>
                                      </a:ln>
                                    </pic:spPr>
                                  </pic:pic>
                                </a:graphicData>
                              </a:graphic>
                            </wp:inline>
                          </w:drawing>
                        </w:r>
                        <w:r>
                          <w:rPr>
                            <w:rFonts w:ascii="Tahoma" w:eastAsia="Times New Roman" w:hAnsi="Tahoma" w:cs="Tahoma"/>
                            <w:color w:val="FFFFFF"/>
                            <w:sz w:val="18"/>
                            <w:szCs w:val="18"/>
                          </w:rPr>
                          <w:t xml:space="preserve"> </w:t>
                        </w:r>
                      </w:p>
                      <w:p w14:paraId="09064EA4" w14:textId="77777777" w:rsidR="00E312E6" w:rsidRDefault="00E312E6">
                        <w:pPr>
                          <w:jc w:val="center"/>
                          <w:rPr>
                            <w:rFonts w:ascii="Tahoma" w:eastAsia="Times New Roman" w:hAnsi="Tahoma" w:cs="Tahoma"/>
                            <w:color w:val="FFFFFF"/>
                            <w:sz w:val="18"/>
                            <w:szCs w:val="18"/>
                          </w:rPr>
                        </w:pPr>
                        <w:r>
                          <w:rPr>
                            <w:rFonts w:ascii="Tahoma" w:eastAsia="Times New Roman" w:hAnsi="Tahoma" w:cs="Tahoma"/>
                            <w:color w:val="FFFFFF"/>
                            <w:sz w:val="18"/>
                            <w:szCs w:val="18"/>
                          </w:rPr>
                          <w:t>14 Hosier Lane, London, EC1A 9LQ</w:t>
                        </w:r>
                        <w:r>
                          <w:rPr>
                            <w:rFonts w:ascii="Tahoma" w:eastAsia="Times New Roman" w:hAnsi="Tahoma" w:cs="Tahoma"/>
                            <w:color w:val="FFFFFF"/>
                            <w:sz w:val="18"/>
                            <w:szCs w:val="18"/>
                          </w:rPr>
                          <w:br/>
                          <w:t>Tel: 0203 1220 810 | Email: </w:t>
                        </w:r>
                        <w:hyperlink r:id="rId26" w:tgtFrame="_blank" w:history="1">
                          <w:r>
                            <w:rPr>
                              <w:rStyle w:val="Hyperlink"/>
                              <w:rFonts w:ascii="Tahoma" w:eastAsia="Times New Roman" w:hAnsi="Tahoma" w:cs="Tahoma"/>
                              <w:b/>
                              <w:bCs/>
                              <w:color w:val="FFFFFF"/>
                              <w:sz w:val="18"/>
                              <w:szCs w:val="18"/>
                            </w:rPr>
                            <w:t>info@psnc.org.uk</w:t>
                          </w:r>
                        </w:hyperlink>
                        <w:r>
                          <w:rPr>
                            <w:rFonts w:ascii="Tahoma" w:eastAsia="Times New Roman" w:hAnsi="Tahoma" w:cs="Tahoma"/>
                            <w:color w:val="FFFFFF"/>
                            <w:sz w:val="18"/>
                            <w:szCs w:val="18"/>
                          </w:rPr>
                          <w:t xml:space="preserve"> </w:t>
                        </w:r>
                      </w:p>
                    </w:tc>
                  </w:tr>
                  <w:tr w:rsidR="00E312E6" w14:paraId="7CE0B667" w14:textId="77777777" w:rsidTr="00E312E6">
                    <w:trPr>
                      <w:trHeight w:val="191"/>
                      <w:tblCellSpacing w:w="0" w:type="dxa"/>
                      <w:jc w:val="center"/>
                    </w:trPr>
                    <w:tc>
                      <w:tcPr>
                        <w:tcW w:w="9000" w:type="dxa"/>
                        <w:tcMar>
                          <w:top w:w="150" w:type="dxa"/>
                          <w:left w:w="0" w:type="dxa"/>
                          <w:bottom w:w="0" w:type="dxa"/>
                          <w:right w:w="0" w:type="dxa"/>
                        </w:tcMar>
                        <w:vAlign w:val="center"/>
                        <w:hideMark/>
                      </w:tcPr>
                      <w:p w14:paraId="6D76AD3C" w14:textId="3D933319" w:rsidR="00E312E6" w:rsidRDefault="00E312E6" w:rsidP="00E312E6">
                        <w:pPr>
                          <w:rPr>
                            <w:rFonts w:ascii="Arial" w:eastAsia="Times New Roman" w:hAnsi="Arial" w:cs="Arial"/>
                            <w:color w:val="FFFFFF"/>
                            <w:sz w:val="17"/>
                            <w:szCs w:val="17"/>
                          </w:rPr>
                        </w:pPr>
                      </w:p>
                    </w:tc>
                  </w:tr>
                </w:tbl>
                <w:p w14:paraId="53C284ED" w14:textId="77777777" w:rsidR="00E312E6" w:rsidRDefault="00E312E6">
                  <w:pPr>
                    <w:jc w:val="center"/>
                    <w:rPr>
                      <w:rFonts w:ascii="Times New Roman" w:eastAsia="Times New Roman" w:hAnsi="Times New Roman" w:cs="Times New Roman"/>
                      <w:sz w:val="20"/>
                      <w:szCs w:val="20"/>
                    </w:rPr>
                  </w:pPr>
                </w:p>
              </w:tc>
            </w:tr>
          </w:tbl>
          <w:p w14:paraId="08E00645" w14:textId="77777777" w:rsidR="00E312E6" w:rsidRDefault="00E312E6">
            <w:pPr>
              <w:jc w:val="center"/>
              <w:rPr>
                <w:rFonts w:ascii="Times New Roman" w:eastAsia="Times New Roman" w:hAnsi="Times New Roman" w:cs="Times New Roman"/>
                <w:sz w:val="20"/>
                <w:szCs w:val="20"/>
              </w:rPr>
            </w:pPr>
          </w:p>
        </w:tc>
      </w:tr>
    </w:tbl>
    <w:p w14:paraId="36EF9FE8" w14:textId="250D21F7" w:rsidR="00E312E6" w:rsidRDefault="00E312E6" w:rsidP="00E312E6">
      <w:pPr>
        <w:rPr>
          <w:rFonts w:eastAsia="Times New Roman"/>
        </w:rPr>
      </w:pPr>
      <w:r>
        <w:rPr>
          <w:rFonts w:eastAsia="Times New Roman"/>
          <w:noProof/>
        </w:rPr>
        <w:drawing>
          <wp:inline distT="0" distB="0" distL="0" distR="0" wp14:anchorId="7AB85F0D" wp14:editId="012289CD">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21E93C09" w14:textId="77777777" w:rsidR="00DD1890" w:rsidRDefault="00DD1890"/>
    <w:sectPr w:rsidR="00DD189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2E6"/>
    <w:rsid w:val="00DD1890"/>
    <w:rsid w:val="00E31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73B05"/>
  <w15:chartTrackingRefBased/>
  <w15:docId w15:val="{9347FF41-8D6E-4611-BC49-5A31EF45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2E6"/>
    <w:rPr>
      <w:rFonts w:ascii="Calibri" w:hAnsi="Calibri" w:cs="Calibri"/>
      <w:lang w:eastAsia="en-GB"/>
    </w:rPr>
  </w:style>
  <w:style w:type="paragraph" w:styleId="Heading1">
    <w:name w:val="heading 1"/>
    <w:basedOn w:val="Normal"/>
    <w:link w:val="Heading1Char"/>
    <w:uiPriority w:val="9"/>
    <w:qFormat/>
    <w:rsid w:val="00E312E6"/>
    <w:pPr>
      <w:spacing w:after="75" w:line="264" w:lineRule="auto"/>
      <w:outlineLvl w:val="0"/>
    </w:pPr>
    <w:rPr>
      <w:rFonts w:ascii="Tahoma" w:hAnsi="Tahoma" w:cs="Tahoma"/>
      <w:b/>
      <w:bCs/>
      <w:color w:val="4E3487"/>
      <w:kern w:val="36"/>
      <w:sz w:val="54"/>
      <w:szCs w:val="54"/>
    </w:rPr>
  </w:style>
  <w:style w:type="paragraph" w:styleId="Heading2">
    <w:name w:val="heading 2"/>
    <w:basedOn w:val="Normal"/>
    <w:link w:val="Heading2Char"/>
    <w:uiPriority w:val="9"/>
    <w:semiHidden/>
    <w:unhideWhenUsed/>
    <w:qFormat/>
    <w:rsid w:val="00E312E6"/>
    <w:pPr>
      <w:spacing w:after="75" w:line="264" w:lineRule="auto"/>
      <w:outlineLvl w:val="1"/>
    </w:pPr>
    <w:rPr>
      <w:rFonts w:ascii="Tahoma" w:hAnsi="Tahoma" w:cs="Tahoma"/>
      <w:b/>
      <w:bCs/>
      <w:color w:val="4E3487"/>
      <w:sz w:val="30"/>
      <w:szCs w:val="30"/>
    </w:rPr>
  </w:style>
  <w:style w:type="paragraph" w:styleId="Heading3">
    <w:name w:val="heading 3"/>
    <w:basedOn w:val="Normal"/>
    <w:link w:val="Heading3Char"/>
    <w:uiPriority w:val="9"/>
    <w:semiHidden/>
    <w:unhideWhenUsed/>
    <w:qFormat/>
    <w:rsid w:val="00E312E6"/>
    <w:pPr>
      <w:spacing w:after="75" w:line="264" w:lineRule="auto"/>
      <w:outlineLvl w:val="2"/>
    </w:pPr>
    <w:rPr>
      <w:rFonts w:ascii="Tahoma" w:hAnsi="Tahoma" w:cs="Tahoma"/>
      <w:b/>
      <w:bCs/>
      <w:color w:val="4E3487"/>
      <w:sz w:val="27"/>
      <w:szCs w:val="27"/>
    </w:rPr>
  </w:style>
  <w:style w:type="paragraph" w:styleId="Heading4">
    <w:name w:val="heading 4"/>
    <w:basedOn w:val="Normal"/>
    <w:link w:val="Heading4Char"/>
    <w:uiPriority w:val="9"/>
    <w:semiHidden/>
    <w:unhideWhenUsed/>
    <w:qFormat/>
    <w:rsid w:val="00E312E6"/>
    <w:pPr>
      <w:spacing w:after="75" w:line="264" w:lineRule="auto"/>
      <w:outlineLvl w:val="3"/>
    </w:pPr>
    <w:rPr>
      <w:rFonts w:ascii="Tahoma" w:hAnsi="Tahoma" w:cs="Tahoma"/>
      <w:b/>
      <w:bCs/>
      <w:color w:val="FFFFF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12E6"/>
    <w:rPr>
      <w:rFonts w:ascii="Tahoma" w:hAnsi="Tahoma" w:cs="Tahoma"/>
      <w:b/>
      <w:bCs/>
      <w:color w:val="4E3487"/>
      <w:kern w:val="36"/>
      <w:sz w:val="54"/>
      <w:szCs w:val="54"/>
      <w:lang w:eastAsia="en-GB"/>
    </w:rPr>
  </w:style>
  <w:style w:type="character" w:customStyle="1" w:styleId="Heading2Char">
    <w:name w:val="Heading 2 Char"/>
    <w:basedOn w:val="DefaultParagraphFont"/>
    <w:link w:val="Heading2"/>
    <w:uiPriority w:val="9"/>
    <w:semiHidden/>
    <w:rsid w:val="00E312E6"/>
    <w:rPr>
      <w:rFonts w:ascii="Tahoma" w:hAnsi="Tahoma" w:cs="Tahoma"/>
      <w:b/>
      <w:bCs/>
      <w:color w:val="4E3487"/>
      <w:sz w:val="30"/>
      <w:szCs w:val="30"/>
      <w:lang w:eastAsia="en-GB"/>
    </w:rPr>
  </w:style>
  <w:style w:type="character" w:customStyle="1" w:styleId="Heading3Char">
    <w:name w:val="Heading 3 Char"/>
    <w:basedOn w:val="DefaultParagraphFont"/>
    <w:link w:val="Heading3"/>
    <w:uiPriority w:val="9"/>
    <w:semiHidden/>
    <w:rsid w:val="00E312E6"/>
    <w:rPr>
      <w:rFonts w:ascii="Tahoma" w:hAnsi="Tahoma" w:cs="Tahoma"/>
      <w:b/>
      <w:bCs/>
      <w:color w:val="4E3487"/>
      <w:sz w:val="27"/>
      <w:szCs w:val="27"/>
      <w:lang w:eastAsia="en-GB"/>
    </w:rPr>
  </w:style>
  <w:style w:type="character" w:customStyle="1" w:styleId="Heading4Char">
    <w:name w:val="Heading 4 Char"/>
    <w:basedOn w:val="DefaultParagraphFont"/>
    <w:link w:val="Heading4"/>
    <w:uiPriority w:val="9"/>
    <w:semiHidden/>
    <w:rsid w:val="00E312E6"/>
    <w:rPr>
      <w:rFonts w:ascii="Tahoma" w:hAnsi="Tahoma" w:cs="Tahoma"/>
      <w:b/>
      <w:bCs/>
      <w:color w:val="FFFFFF"/>
      <w:sz w:val="18"/>
      <w:szCs w:val="18"/>
      <w:lang w:eastAsia="en-GB"/>
    </w:rPr>
  </w:style>
  <w:style w:type="paragraph" w:styleId="NormalWeb">
    <w:name w:val="Normal (Web)"/>
    <w:basedOn w:val="Normal"/>
    <w:uiPriority w:val="99"/>
    <w:semiHidden/>
    <w:unhideWhenUsed/>
    <w:rsid w:val="00E312E6"/>
    <w:pPr>
      <w:spacing w:before="100" w:beforeAutospacing="1" w:after="100" w:afterAutospacing="1"/>
    </w:pPr>
  </w:style>
  <w:style w:type="character" w:styleId="Strong">
    <w:name w:val="Strong"/>
    <w:basedOn w:val="DefaultParagraphFont"/>
    <w:uiPriority w:val="22"/>
    <w:qFormat/>
    <w:rsid w:val="00E312E6"/>
    <w:rPr>
      <w:b/>
      <w:bCs/>
    </w:rPr>
  </w:style>
  <w:style w:type="character" w:styleId="Hyperlink">
    <w:name w:val="Hyperlink"/>
    <w:basedOn w:val="DefaultParagraphFont"/>
    <w:uiPriority w:val="99"/>
    <w:semiHidden/>
    <w:unhideWhenUsed/>
    <w:rsid w:val="00E312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512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us7.list-manage.com/track/click?u=86d41ab7fa4c7c2c5d7210782&amp;id=f5a3600c77&amp;e=d19e9fd41c" TargetMode="External"/><Relationship Id="rId13" Type="http://schemas.openxmlformats.org/officeDocument/2006/relationships/hyperlink" Target="https://psnc.us7.list-manage.com/track/click?u=86d41ab7fa4c7c2c5d7210782&amp;id=b3020b22f1&amp;e=d19e9fd41c" TargetMode="External"/><Relationship Id="rId18" Type="http://schemas.openxmlformats.org/officeDocument/2006/relationships/image" Target="media/image4.png"/><Relationship Id="rId26" Type="http://schemas.openxmlformats.org/officeDocument/2006/relationships/hyperlink" Target="mailto:info@psnc.org.uk" TargetMode="External"/><Relationship Id="rId3" Type="http://schemas.openxmlformats.org/officeDocument/2006/relationships/webSettings" Target="webSettings.xml"/><Relationship Id="rId21" Type="http://schemas.openxmlformats.org/officeDocument/2006/relationships/image" Target="media/image5.png"/><Relationship Id="rId7" Type="http://schemas.openxmlformats.org/officeDocument/2006/relationships/image" Target="http://psnc.org.uk/wp-content/uploads/2013/11/Newsletter-style-bar.png" TargetMode="External"/><Relationship Id="rId12" Type="http://schemas.openxmlformats.org/officeDocument/2006/relationships/hyperlink" Target="https://psnc.us7.list-manage.com/track/click?u=86d41ab7fa4c7c2c5d7210782&amp;id=3af60d3603&amp;e=d19e9fd41c" TargetMode="External"/><Relationship Id="rId17" Type="http://schemas.openxmlformats.org/officeDocument/2006/relationships/hyperlink" Target="https://psnc.us7.list-manage.com/track/click?u=86d41ab7fa4c7c2c5d7210782&amp;id=6b64f8230f&amp;e=d19e9fd41c" TargetMode="External"/><Relationship Id="rId25" Type="http://schemas.openxmlformats.org/officeDocument/2006/relationships/image" Target="https://gallery.mailchimp.com/86d41ab7fa4c7c2c5d7210782/images/f5c0845f-f39c-425d-8d3c-deff11493c50.png" TargetMode="External"/><Relationship Id="rId2" Type="http://schemas.openxmlformats.org/officeDocument/2006/relationships/settings" Target="settings.xml"/><Relationship Id="rId16" Type="http://schemas.openxmlformats.org/officeDocument/2006/relationships/image" Target="https://gallery.mailchimp.com/86d41ab7fa4c7c2c5d7210782/images/5acd9cf1-bdba-4039-b74f-638b444ff5d8.png" TargetMode="External"/><Relationship Id="rId20" Type="http://schemas.openxmlformats.org/officeDocument/2006/relationships/hyperlink" Target="https://psnc.us7.list-manage.com/track/click?u=86d41ab7fa4c7c2c5d7210782&amp;id=f90d471c37&amp;e=d19e9fd41c"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psnc.us7.list-manage.com/track/click?u=86d41ab7fa4c7c2c5d7210782&amp;id=d002f39e16&amp;e=d19e9fd41c" TargetMode="External"/><Relationship Id="rId24" Type="http://schemas.openxmlformats.org/officeDocument/2006/relationships/image" Target="media/image6.png"/><Relationship Id="rId5" Type="http://schemas.openxmlformats.org/officeDocument/2006/relationships/image" Target="https://gallery.mailchimp.com/86d41ab7fa4c7c2c5d7210782/images/001d399a-96a4-4e1f-b905-a21d530b5d29.jpg" TargetMode="External"/><Relationship Id="rId15" Type="http://schemas.openxmlformats.org/officeDocument/2006/relationships/image" Target="media/image3.png"/><Relationship Id="rId23" Type="http://schemas.openxmlformats.org/officeDocument/2006/relationships/hyperlink" Target="https://psnc.us7.list-manage.com/track/click?u=86d41ab7fa4c7c2c5d7210782&amp;id=bbd26a8116&amp;e=d19e9fd41c" TargetMode="External"/><Relationship Id="rId28" Type="http://schemas.openxmlformats.org/officeDocument/2006/relationships/image" Target="https://psnc.us7.list-manage.com/track/open.php?u=86d41ab7fa4c7c2c5d7210782&amp;id=6afd3b20c6&amp;e=d19e9fd41c" TargetMode="External"/><Relationship Id="rId10" Type="http://schemas.openxmlformats.org/officeDocument/2006/relationships/hyperlink" Target="https://psnc.us7.list-manage.com/track/click?u=86d41ab7fa4c7c2c5d7210782&amp;id=bea8e3e0f7&amp;e=d19e9fd41c" TargetMode="External"/><Relationship Id="rId19" Type="http://schemas.openxmlformats.org/officeDocument/2006/relationships/image" Target="https://gallery.mailchimp.com/86d41ab7fa4c7c2c5d7210782/images/e1475f6b-1081-4509-ab25-9cd7f83d26b2.png" TargetMode="External"/><Relationship Id="rId4" Type="http://schemas.openxmlformats.org/officeDocument/2006/relationships/image" Target="media/image1.jpeg"/><Relationship Id="rId9" Type="http://schemas.openxmlformats.org/officeDocument/2006/relationships/hyperlink" Target="https://psnc.us7.list-manage.com/track/click?u=86d41ab7fa4c7c2c5d7210782&amp;id=82108c9eac&amp;e=d19e9fd41c" TargetMode="External"/><Relationship Id="rId14" Type="http://schemas.openxmlformats.org/officeDocument/2006/relationships/hyperlink" Target="https://psnc.us7.list-manage.com/track/click?u=86d41ab7fa4c7c2c5d7210782&amp;id=9eb3a0c1e9&amp;e=d19e9fd41c" TargetMode="External"/><Relationship Id="rId22" Type="http://schemas.openxmlformats.org/officeDocument/2006/relationships/image" Target="https://gallery.mailchimp.com/86d41ab7fa4c7c2c5d7210782/images/cd088afd-0ac0-4498-8ed1-e4199bf882ce.png" TargetMode="External"/><Relationship Id="rId27" Type="http://schemas.openxmlformats.org/officeDocument/2006/relationships/image" Target="media/image7.gif"/><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Freemantle</dc:creator>
  <cp:keywords/>
  <dc:description/>
  <cp:lastModifiedBy>Alison Freemantle</cp:lastModifiedBy>
  <cp:revision>1</cp:revision>
  <dcterms:created xsi:type="dcterms:W3CDTF">2022-09-26T07:36:00Z</dcterms:created>
  <dcterms:modified xsi:type="dcterms:W3CDTF">2022-09-26T07:38:00Z</dcterms:modified>
</cp:coreProperties>
</file>