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A6645" w14:paraId="3D2D3E94" w14:textId="77777777" w:rsidTr="00DA664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A6645" w14:paraId="3C1E6DD9"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A6645" w14:paraId="1AA8B0E4" w14:textId="77777777">
                    <w:trPr>
                      <w:tblCellSpacing w:w="0" w:type="dxa"/>
                      <w:jc w:val="center"/>
                    </w:trPr>
                    <w:tc>
                      <w:tcPr>
                        <w:tcW w:w="3000" w:type="dxa"/>
                        <w:hideMark/>
                      </w:tcPr>
                      <w:p w14:paraId="4E9A9090" w14:textId="56B1E657" w:rsidR="00DA6645" w:rsidRDefault="00DA664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496E6BB" w14:textId="77777777" w:rsidR="00DA6645" w:rsidRDefault="00DA6645">
                  <w:pPr>
                    <w:jc w:val="center"/>
                    <w:rPr>
                      <w:rFonts w:ascii="Times New Roman" w:eastAsia="Times New Roman" w:hAnsi="Times New Roman" w:cs="Times New Roman"/>
                      <w:sz w:val="20"/>
                      <w:szCs w:val="20"/>
                    </w:rPr>
                  </w:pPr>
                </w:p>
              </w:tc>
            </w:tr>
            <w:tr w:rsidR="00DA6645" w14:paraId="506D5FE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A6645" w14:paraId="0E0660D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3C4553A" w14:textId="5D0F6323" w:rsidR="00DA6645" w:rsidRDefault="00DA6645">
                        <w:pPr>
                          <w:jc w:val="center"/>
                          <w:rPr>
                            <w:rFonts w:eastAsia="Times New Roman"/>
                          </w:rPr>
                        </w:pPr>
                        <w:r>
                          <w:rPr>
                            <w:rFonts w:eastAsia="Times New Roman"/>
                            <w:noProof/>
                          </w:rPr>
                          <w:drawing>
                            <wp:inline distT="0" distB="0" distL="0" distR="0" wp14:anchorId="4DDFEFC0" wp14:editId="0682A56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A6645" w14:paraId="15880125" w14:textId="77777777">
                    <w:trPr>
                      <w:tblCellSpacing w:w="0" w:type="dxa"/>
                    </w:trPr>
                    <w:tc>
                      <w:tcPr>
                        <w:tcW w:w="0" w:type="auto"/>
                        <w:vMerge/>
                        <w:tcBorders>
                          <w:top w:val="nil"/>
                          <w:left w:val="nil"/>
                          <w:bottom w:val="single" w:sz="2" w:space="0" w:color="FFFFFF"/>
                          <w:right w:val="nil"/>
                        </w:tcBorders>
                        <w:vAlign w:val="center"/>
                        <w:hideMark/>
                      </w:tcPr>
                      <w:p w14:paraId="25BD2E75" w14:textId="77777777" w:rsidR="00DA6645" w:rsidRDefault="00DA6645">
                        <w:pPr>
                          <w:rPr>
                            <w:rFonts w:eastAsia="Times New Roman"/>
                          </w:rPr>
                        </w:pPr>
                      </w:p>
                    </w:tc>
                    <w:tc>
                      <w:tcPr>
                        <w:tcW w:w="3450" w:type="dxa"/>
                        <w:tcBorders>
                          <w:top w:val="nil"/>
                          <w:left w:val="nil"/>
                          <w:bottom w:val="nil"/>
                          <w:right w:val="nil"/>
                        </w:tcBorders>
                        <w:vAlign w:val="center"/>
                        <w:hideMark/>
                      </w:tcPr>
                      <w:p w14:paraId="65AC13FF" w14:textId="77777777" w:rsidR="00DA6645" w:rsidRDefault="00DA6645">
                        <w:pPr>
                          <w:pStyle w:val="Heading1"/>
                          <w:rPr>
                            <w:rFonts w:eastAsia="Times New Roman"/>
                          </w:rPr>
                        </w:pPr>
                        <w:r>
                          <w:rPr>
                            <w:rFonts w:eastAsia="Times New Roman"/>
                          </w:rPr>
                          <w:t>PSNC Newsletter</w:t>
                        </w:r>
                      </w:p>
                    </w:tc>
                  </w:tr>
                  <w:tr w:rsidR="00DA6645" w14:paraId="562ECB24" w14:textId="77777777">
                    <w:trPr>
                      <w:tblCellSpacing w:w="0" w:type="dxa"/>
                    </w:trPr>
                    <w:tc>
                      <w:tcPr>
                        <w:tcW w:w="0" w:type="auto"/>
                        <w:vMerge/>
                        <w:tcBorders>
                          <w:top w:val="nil"/>
                          <w:left w:val="nil"/>
                          <w:bottom w:val="single" w:sz="2" w:space="0" w:color="FFFFFF"/>
                          <w:right w:val="nil"/>
                        </w:tcBorders>
                        <w:vAlign w:val="center"/>
                        <w:hideMark/>
                      </w:tcPr>
                      <w:p w14:paraId="1DA0A450" w14:textId="77777777" w:rsidR="00DA6645" w:rsidRDefault="00DA664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6CC498F" w14:textId="77777777" w:rsidR="00DA6645" w:rsidRDefault="00DA6645">
                        <w:pPr>
                          <w:pStyle w:val="Heading2"/>
                          <w:rPr>
                            <w:rFonts w:eastAsia="Times New Roman"/>
                            <w:color w:val="93378A"/>
                          </w:rPr>
                        </w:pPr>
                        <w:r>
                          <w:rPr>
                            <w:rFonts w:eastAsia="Times New Roman"/>
                            <w:color w:val="93378A"/>
                          </w:rPr>
                          <w:t>Friday 26th August 2022</w:t>
                        </w:r>
                      </w:p>
                    </w:tc>
                  </w:tr>
                </w:tbl>
                <w:p w14:paraId="5C33F5E6" w14:textId="77777777" w:rsidR="00DA6645" w:rsidRDefault="00DA6645">
                  <w:pPr>
                    <w:rPr>
                      <w:rFonts w:ascii="Times New Roman" w:eastAsia="Times New Roman" w:hAnsi="Times New Roman" w:cs="Times New Roman"/>
                      <w:sz w:val="20"/>
                      <w:szCs w:val="20"/>
                    </w:rPr>
                  </w:pPr>
                </w:p>
              </w:tc>
            </w:tr>
            <w:tr w:rsidR="00DA6645" w14:paraId="2D5C437F" w14:textId="77777777">
              <w:tblPrEx>
                <w:shd w:val="clear" w:color="auto" w:fill="auto"/>
              </w:tblPrEx>
              <w:trPr>
                <w:tblCellSpacing w:w="0" w:type="dxa"/>
                <w:jc w:val="center"/>
              </w:trPr>
              <w:tc>
                <w:tcPr>
                  <w:tcW w:w="9000" w:type="dxa"/>
                  <w:hideMark/>
                </w:tcPr>
                <w:p w14:paraId="0F042717" w14:textId="04192585" w:rsidR="00DA6645" w:rsidRDefault="00DA6645">
                  <w:pPr>
                    <w:rPr>
                      <w:rFonts w:eastAsia="Times New Roman"/>
                    </w:rPr>
                  </w:pPr>
                  <w:r>
                    <w:rPr>
                      <w:rFonts w:eastAsia="Times New Roman"/>
                      <w:noProof/>
                    </w:rPr>
                    <w:drawing>
                      <wp:inline distT="0" distB="0" distL="0" distR="0" wp14:anchorId="22FD7F1B" wp14:editId="213B899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A6645" w14:paraId="41E8A76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DA6645" w14:paraId="2E823FEA" w14:textId="77777777">
                    <w:trPr>
                      <w:trHeight w:val="150"/>
                      <w:tblCellSpacing w:w="15" w:type="dxa"/>
                      <w:jc w:val="center"/>
                    </w:trPr>
                    <w:tc>
                      <w:tcPr>
                        <w:tcW w:w="150" w:type="dxa"/>
                        <w:vAlign w:val="center"/>
                        <w:hideMark/>
                      </w:tcPr>
                      <w:p w14:paraId="47962412" w14:textId="77777777" w:rsidR="00DA6645" w:rsidRDefault="00DA6645" w:rsidP="00DA6645">
                        <w:pPr>
                          <w:spacing w:line="264" w:lineRule="auto"/>
                          <w:rPr>
                            <w:rFonts w:eastAsia="Times New Roman"/>
                          </w:rPr>
                        </w:pPr>
                      </w:p>
                    </w:tc>
                    <w:tc>
                      <w:tcPr>
                        <w:tcW w:w="8700" w:type="dxa"/>
                        <w:vAlign w:val="center"/>
                        <w:hideMark/>
                      </w:tcPr>
                      <w:p w14:paraId="65F2A492" w14:textId="77777777" w:rsidR="00DA6645" w:rsidRDefault="00DA6645" w:rsidP="00DA6645">
                        <w:pPr>
                          <w:spacing w:line="264" w:lineRule="auto"/>
                          <w:rPr>
                            <w:rFonts w:ascii="Times New Roman" w:eastAsia="Times New Roman" w:hAnsi="Times New Roman" w:cs="Times New Roman"/>
                            <w:sz w:val="20"/>
                            <w:szCs w:val="20"/>
                          </w:rPr>
                        </w:pPr>
                      </w:p>
                    </w:tc>
                    <w:tc>
                      <w:tcPr>
                        <w:tcW w:w="150" w:type="dxa"/>
                        <w:vAlign w:val="center"/>
                        <w:hideMark/>
                      </w:tcPr>
                      <w:p w14:paraId="28A073AB" w14:textId="77777777" w:rsidR="00DA6645" w:rsidRDefault="00DA6645" w:rsidP="00DA6645">
                        <w:pPr>
                          <w:spacing w:line="264" w:lineRule="auto"/>
                          <w:rPr>
                            <w:rFonts w:ascii="Times New Roman" w:eastAsia="Times New Roman" w:hAnsi="Times New Roman" w:cs="Times New Roman"/>
                            <w:sz w:val="20"/>
                            <w:szCs w:val="20"/>
                          </w:rPr>
                        </w:pPr>
                      </w:p>
                    </w:tc>
                  </w:tr>
                  <w:tr w:rsidR="00DA6645" w14:paraId="528A2D0B" w14:textId="77777777">
                    <w:trPr>
                      <w:tblCellSpacing w:w="15" w:type="dxa"/>
                      <w:jc w:val="center"/>
                    </w:trPr>
                    <w:tc>
                      <w:tcPr>
                        <w:tcW w:w="150" w:type="dxa"/>
                        <w:vAlign w:val="center"/>
                        <w:hideMark/>
                      </w:tcPr>
                      <w:p w14:paraId="55DAB0D9" w14:textId="77777777" w:rsidR="00DA6645" w:rsidRDefault="00DA6645" w:rsidP="00DA6645">
                        <w:pPr>
                          <w:spacing w:line="264" w:lineRule="auto"/>
                          <w:rPr>
                            <w:rFonts w:ascii="Times New Roman" w:eastAsia="Times New Roman" w:hAnsi="Times New Roman" w:cs="Times New Roman"/>
                            <w:sz w:val="20"/>
                            <w:szCs w:val="20"/>
                          </w:rPr>
                        </w:pPr>
                      </w:p>
                    </w:tc>
                    <w:tc>
                      <w:tcPr>
                        <w:tcW w:w="8700" w:type="dxa"/>
                        <w:vAlign w:val="center"/>
                        <w:hideMark/>
                      </w:tcPr>
                      <w:p w14:paraId="41BF618E"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60E4D90"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201E6ED">
                            <v:rect id="_x0000_i1032" style="width:468pt;height:1.5pt" o:hrstd="t" o:hr="t" fillcolor="#a0a0a0" stroked="f"/>
                          </w:pict>
                        </w:r>
                      </w:p>
                      <w:p w14:paraId="4DC28A5E" w14:textId="77777777" w:rsidR="00DA6645" w:rsidRDefault="00DA6645" w:rsidP="00DA6645">
                        <w:pPr>
                          <w:pStyle w:val="Heading2"/>
                          <w:spacing w:after="0"/>
                          <w:rPr>
                            <w:rFonts w:eastAsia="Times New Roman"/>
                          </w:rPr>
                        </w:pPr>
                        <w:r>
                          <w:rPr>
                            <w:rFonts w:eastAsia="Times New Roman"/>
                          </w:rPr>
                          <w:t>In this update: Changes to discount deduction; Flu vac National protocol and Directions; CPAF screening deadline; end of regular C-19 staff testing; expiry of SSP033; price concessions update.</w:t>
                        </w:r>
                      </w:p>
                      <w:p w14:paraId="3B43180F"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E05142C">
                            <v:rect id="_x0000_i1033" style="width:468pt;height:1.5pt" o:hrstd="t" o:hr="t" fillcolor="#a0a0a0" stroked="f"/>
                          </w:pict>
                        </w:r>
                      </w:p>
                      <w:p w14:paraId="17FEBE1C" w14:textId="77777777" w:rsidR="00DA6645" w:rsidRDefault="00DA6645" w:rsidP="00DA6645">
                        <w:pPr>
                          <w:pStyle w:val="Heading2"/>
                          <w:spacing w:after="0"/>
                          <w:rPr>
                            <w:rFonts w:eastAsia="Times New Roman"/>
                          </w:rPr>
                        </w:pPr>
                        <w:r>
                          <w:rPr>
                            <w:rFonts w:eastAsia="Times New Roman"/>
                          </w:rPr>
                          <w:t>Changes to discount deduction arrangements</w:t>
                        </w:r>
                      </w:p>
                      <w:p w14:paraId="22CFF6AA"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New arrangements for the application of discount deduction to community pharmacy payments have been agreed by PSNC and the Department of Health and Social Care (DHSC).</w:t>
                        </w:r>
                        <w:r>
                          <w:rPr>
                            <w:rFonts w:ascii="Tahoma" w:eastAsia="Times New Roman" w:hAnsi="Tahoma" w:cs="Tahoma"/>
                            <w:color w:val="303030"/>
                            <w:sz w:val="21"/>
                            <w:szCs w:val="21"/>
                          </w:rPr>
                          <w:br/>
                        </w:r>
                        <w:r>
                          <w:rPr>
                            <w:rFonts w:ascii="Tahoma" w:eastAsia="Times New Roman" w:hAnsi="Tahoma" w:cs="Tahoma"/>
                            <w:color w:val="303030"/>
                            <w:sz w:val="21"/>
                            <w:szCs w:val="21"/>
                          </w:rPr>
                          <w:br/>
                          <w:t>The new discount deduction system will see the current single scale split into three groups: one each for generic medicines, branded medicines, and appliances. Rather than one set value for all items dispensed, separate fixed values have been determined for each group. From October 2022, discount deductions will begin transitioning to these new arrangements.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 and see PSNC's guidance on the changes</w:t>
                          </w:r>
                        </w:hyperlink>
                        <w:r>
                          <w:rPr>
                            <w:rFonts w:ascii="Tahoma" w:eastAsia="Times New Roman" w:hAnsi="Tahoma" w:cs="Tahoma"/>
                            <w:color w:val="303030"/>
                            <w:sz w:val="21"/>
                            <w:szCs w:val="21"/>
                          </w:rPr>
                          <w:t xml:space="preserve"> </w:t>
                        </w:r>
                      </w:p>
                      <w:p w14:paraId="1F369DF8"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E3C26A">
                            <v:rect id="_x0000_i1034" style="width:468pt;height:1.5pt" o:hrstd="t" o:hr="t" fillcolor="#a0a0a0" stroked="f"/>
                          </w:pict>
                        </w:r>
                      </w:p>
                      <w:p w14:paraId="0D56EE24" w14:textId="77777777" w:rsidR="00DA6645" w:rsidRDefault="00DA6645" w:rsidP="00DA6645">
                        <w:pPr>
                          <w:pStyle w:val="Heading2"/>
                          <w:spacing w:after="0"/>
                          <w:rPr>
                            <w:rFonts w:eastAsia="Times New Roman"/>
                          </w:rPr>
                        </w:pPr>
                        <w:r>
                          <w:rPr>
                            <w:rFonts w:eastAsia="Times New Roman"/>
                          </w:rPr>
                          <w:t>Flu vac National protocol and Directions published</w:t>
                        </w:r>
                      </w:p>
                      <w:p w14:paraId="5AFA93A6"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UK Health Security Agency have published the National protocol for inactivated influenza vaccine. The protocol provides another mechanism by which community pharmacy contractors can offer the NHS Flu Vaccination Service during the forthcoming flu season.</w:t>
                        </w:r>
                        <w:r>
                          <w:rPr>
                            <w:rFonts w:ascii="Tahoma" w:eastAsia="Times New Roman" w:hAnsi="Tahoma" w:cs="Tahoma"/>
                            <w:color w:val="303030"/>
                            <w:sz w:val="21"/>
                            <w:szCs w:val="21"/>
                          </w:rPr>
                          <w:br/>
                        </w:r>
                        <w:r>
                          <w:rPr>
                            <w:rFonts w:ascii="Tahoma" w:eastAsia="Times New Roman" w:hAnsi="Tahoma" w:cs="Tahoma"/>
                            <w:color w:val="303030"/>
                            <w:sz w:val="21"/>
                            <w:szCs w:val="21"/>
                          </w:rPr>
                          <w:br/>
                          <w:t>DHSC have also published the amended Directions for the Community Pharmacy Seasonal Influenza Vaccination Advanced Service. The Directions apply from 1st September 2022 and will be included in the Drug Tariff from October 2022.</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Download the National protocol and updated directions</w:t>
                          </w:r>
                        </w:hyperlink>
                        <w:r>
                          <w:rPr>
                            <w:rFonts w:ascii="Tahoma" w:eastAsia="Times New Roman" w:hAnsi="Tahoma" w:cs="Tahoma"/>
                            <w:color w:val="303030"/>
                            <w:sz w:val="21"/>
                            <w:szCs w:val="21"/>
                          </w:rPr>
                          <w:t xml:space="preserve"> </w:t>
                        </w:r>
                      </w:p>
                      <w:p w14:paraId="59FF2676"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3A61B99">
                            <v:rect id="_x0000_i1035" style="width:468pt;height:1.5pt" o:hrstd="t" o:hr="t" fillcolor="#a0a0a0" stroked="f"/>
                          </w:pict>
                        </w:r>
                      </w:p>
                      <w:p w14:paraId="2C7370EF" w14:textId="77777777" w:rsidR="00DA6645" w:rsidRDefault="00DA6645" w:rsidP="00DA6645">
                        <w:pPr>
                          <w:pStyle w:val="Heading2"/>
                          <w:spacing w:after="0"/>
                          <w:rPr>
                            <w:rFonts w:eastAsia="Times New Roman"/>
                          </w:rPr>
                        </w:pPr>
                        <w:r>
                          <w:rPr>
                            <w:rFonts w:eastAsia="Times New Roman"/>
                          </w:rPr>
                          <w:t>Last few days to complete CPAF screening survey</w:t>
                        </w:r>
                      </w:p>
                      <w:p w14:paraId="63C04229"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they only have a few days left to complete the Community Pharmacy Assurance Framework (CPAF) screening questionnaire before the deadline on </w:t>
                        </w:r>
                        <w:r>
                          <w:rPr>
                            <w:rStyle w:val="Strong"/>
                            <w:rFonts w:ascii="Tahoma" w:eastAsia="Times New Roman" w:hAnsi="Tahoma" w:cs="Tahoma"/>
                            <w:color w:val="303030"/>
                            <w:sz w:val="21"/>
                            <w:szCs w:val="21"/>
                          </w:rPr>
                          <w:t>Wednesday 31st August 2022</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PSNC recommends that any contractor who has yet to complete the CPAF screening questionnaire takes immediate action. It should take approximately 10-20 minutes to complete.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CPAF</w:t>
                          </w:r>
                        </w:hyperlink>
                        <w:r>
                          <w:rPr>
                            <w:rFonts w:ascii="Tahoma" w:eastAsia="Times New Roman" w:hAnsi="Tahoma" w:cs="Tahoma"/>
                            <w:color w:val="303030"/>
                            <w:sz w:val="21"/>
                            <w:szCs w:val="21"/>
                          </w:rPr>
                          <w:t xml:space="preserve"> </w:t>
                        </w:r>
                      </w:p>
                      <w:p w14:paraId="61B707B8"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7D942C">
                            <v:rect id="_x0000_i1036" style="width:468pt;height:1.5pt" o:hrstd="t" o:hr="t" fillcolor="#a0a0a0" stroked="f"/>
                          </w:pict>
                        </w:r>
                      </w:p>
                      <w:p w14:paraId="45AFFC1B" w14:textId="77777777" w:rsidR="00DA6645" w:rsidRDefault="00DA6645" w:rsidP="00DA6645">
                        <w:pPr>
                          <w:pStyle w:val="Heading2"/>
                          <w:spacing w:after="0"/>
                          <w:rPr>
                            <w:rFonts w:eastAsia="Times New Roman"/>
                          </w:rPr>
                        </w:pPr>
                        <w:r>
                          <w:rPr>
                            <w:rFonts w:eastAsia="Times New Roman"/>
                          </w:rPr>
                          <w:t>Routine staff testing for COVID-19 to be paused</w:t>
                        </w:r>
                      </w:p>
                      <w:p w14:paraId="0B675E9F"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Government has announced that regular asymptomatic testing for COVID-19 will be paused in all remaining health and care settings from </w:t>
                        </w:r>
                        <w:r>
                          <w:rPr>
                            <w:rStyle w:val="Strong"/>
                            <w:rFonts w:ascii="Tahoma" w:eastAsia="Times New Roman" w:hAnsi="Tahoma" w:cs="Tahoma"/>
                            <w:color w:val="303030"/>
                            <w:sz w:val="21"/>
                            <w:szCs w:val="21"/>
                          </w:rPr>
                          <w:t>31st August 2022</w:t>
                        </w:r>
                        <w:r>
                          <w:rPr>
                            <w:rFonts w:ascii="Tahoma" w:eastAsia="Times New Roman" w:hAnsi="Tahoma" w:cs="Tahoma"/>
                            <w:color w:val="303030"/>
                            <w:sz w:val="21"/>
                            <w:szCs w:val="21"/>
                          </w:rPr>
                          <w:t>. This means that routine, twice-weekly asymptomatic COVID-19 testing by pharmacy staff should be paused.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17A59FD4"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AAA42CA">
                            <v:rect id="_x0000_i1037" style="width:468pt;height:1.5pt" o:hrstd="t" o:hr="t" fillcolor="#a0a0a0" stroked="f"/>
                          </w:pict>
                        </w:r>
                      </w:p>
                      <w:p w14:paraId="47F145FB" w14:textId="77777777" w:rsidR="00DA6645" w:rsidRDefault="00DA6645" w:rsidP="00DA6645">
                        <w:pPr>
                          <w:pStyle w:val="Heading2"/>
                          <w:spacing w:after="0"/>
                          <w:rPr>
                            <w:rFonts w:eastAsia="Times New Roman"/>
                          </w:rPr>
                        </w:pPr>
                        <w:r>
                          <w:rPr>
                            <w:rFonts w:eastAsia="Times New Roman"/>
                          </w:rPr>
                          <w:t>Expiry of SSP033</w:t>
                        </w:r>
                      </w:p>
                      <w:p w14:paraId="0E169058"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Serious Shortage Protocol for Paracetamol 120mg suppositories (SSP033) is due to expire at </w:t>
                        </w:r>
                        <w:r>
                          <w:rPr>
                            <w:rStyle w:val="Strong"/>
                            <w:rFonts w:ascii="Tahoma" w:eastAsia="Times New Roman" w:hAnsi="Tahoma" w:cs="Tahoma"/>
                            <w:color w:val="303030"/>
                            <w:sz w:val="21"/>
                            <w:szCs w:val="21"/>
                          </w:rPr>
                          <w:t>23.59pm today, Friday 26th August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PSNC's top tips for SSP claims</w:t>
                          </w:r>
                        </w:hyperlink>
                        <w:r>
                          <w:rPr>
                            <w:rFonts w:ascii="Tahoma" w:eastAsia="Times New Roman" w:hAnsi="Tahoma" w:cs="Tahoma"/>
                            <w:color w:val="303030"/>
                            <w:sz w:val="21"/>
                            <w:szCs w:val="21"/>
                          </w:rPr>
                          <w:t xml:space="preserve"> </w:t>
                        </w:r>
                      </w:p>
                      <w:p w14:paraId="12AC3180"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0D0FAF3">
                            <v:rect id="_x0000_i1038" style="width:468pt;height:1.5pt" o:hrstd="t" o:hr="t" fillcolor="#a0a0a0" stroked="f"/>
                          </w:pict>
                        </w:r>
                      </w:p>
                      <w:p w14:paraId="72F3B172" w14:textId="77777777" w:rsidR="00DA6645" w:rsidRDefault="00DA6645" w:rsidP="00DA6645">
                        <w:pPr>
                          <w:pStyle w:val="Heading2"/>
                          <w:spacing w:after="0"/>
                          <w:rPr>
                            <w:rFonts w:eastAsia="Times New Roman"/>
                          </w:rPr>
                        </w:pPr>
                        <w:r>
                          <w:rPr>
                            <w:rFonts w:eastAsia="Times New Roman"/>
                          </w:rPr>
                          <w:t>August Price Concessions: Fourth Update</w:t>
                        </w:r>
                      </w:p>
                      <w:p w14:paraId="09EB5A3A" w14:textId="77777777" w:rsidR="00DA6645" w:rsidRDefault="00DA6645" w:rsidP="00DA664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published an updated list of price concessions for August 2022. PSNC is still in discussion with the DHSC about several other lines of concern, including Aripiprazole and Temazepam tablets. We will provide an update on these as soon as a decision has been reached.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See the updated August price concessions list</w:t>
                          </w:r>
                        </w:hyperlink>
                      </w:p>
                    </w:tc>
                    <w:tc>
                      <w:tcPr>
                        <w:tcW w:w="150" w:type="dxa"/>
                        <w:vAlign w:val="center"/>
                        <w:hideMark/>
                      </w:tcPr>
                      <w:p w14:paraId="24F127A2" w14:textId="77777777" w:rsidR="00DA6645" w:rsidRDefault="00DA6645" w:rsidP="00DA6645">
                        <w:pPr>
                          <w:spacing w:line="264" w:lineRule="auto"/>
                          <w:rPr>
                            <w:rFonts w:ascii="Tahoma" w:eastAsia="Times New Roman" w:hAnsi="Tahoma" w:cs="Tahoma"/>
                            <w:color w:val="303030"/>
                            <w:sz w:val="21"/>
                            <w:szCs w:val="21"/>
                          </w:rPr>
                        </w:pPr>
                      </w:p>
                    </w:tc>
                  </w:tr>
                  <w:tr w:rsidR="00DA6645" w14:paraId="77583B5B" w14:textId="77777777">
                    <w:trPr>
                      <w:trHeight w:val="150"/>
                      <w:tblCellSpacing w:w="15" w:type="dxa"/>
                      <w:jc w:val="center"/>
                    </w:trPr>
                    <w:tc>
                      <w:tcPr>
                        <w:tcW w:w="150" w:type="dxa"/>
                        <w:vAlign w:val="center"/>
                        <w:hideMark/>
                      </w:tcPr>
                      <w:p w14:paraId="19EEEBDF" w14:textId="77777777" w:rsidR="00DA6645" w:rsidRDefault="00DA6645" w:rsidP="00DA6645">
                        <w:pPr>
                          <w:spacing w:line="264" w:lineRule="auto"/>
                          <w:rPr>
                            <w:rFonts w:ascii="Times New Roman" w:eastAsia="Times New Roman" w:hAnsi="Times New Roman" w:cs="Times New Roman"/>
                            <w:sz w:val="20"/>
                            <w:szCs w:val="20"/>
                          </w:rPr>
                        </w:pPr>
                      </w:p>
                    </w:tc>
                    <w:tc>
                      <w:tcPr>
                        <w:tcW w:w="8700" w:type="dxa"/>
                        <w:vAlign w:val="center"/>
                        <w:hideMark/>
                      </w:tcPr>
                      <w:p w14:paraId="7DDB7A90" w14:textId="77777777" w:rsidR="00DA6645" w:rsidRDefault="00DA6645" w:rsidP="00DA6645">
                        <w:pPr>
                          <w:spacing w:line="264" w:lineRule="auto"/>
                          <w:rPr>
                            <w:rFonts w:ascii="Times New Roman" w:eastAsia="Times New Roman" w:hAnsi="Times New Roman" w:cs="Times New Roman"/>
                            <w:sz w:val="20"/>
                            <w:szCs w:val="20"/>
                          </w:rPr>
                        </w:pPr>
                      </w:p>
                    </w:tc>
                    <w:tc>
                      <w:tcPr>
                        <w:tcW w:w="150" w:type="dxa"/>
                        <w:vAlign w:val="center"/>
                        <w:hideMark/>
                      </w:tcPr>
                      <w:p w14:paraId="67F9DB20" w14:textId="77777777" w:rsidR="00DA6645" w:rsidRDefault="00DA6645" w:rsidP="00DA6645">
                        <w:pPr>
                          <w:spacing w:line="264" w:lineRule="auto"/>
                          <w:rPr>
                            <w:rFonts w:ascii="Times New Roman" w:eastAsia="Times New Roman" w:hAnsi="Times New Roman" w:cs="Times New Roman"/>
                            <w:sz w:val="20"/>
                            <w:szCs w:val="20"/>
                          </w:rPr>
                        </w:pPr>
                      </w:p>
                    </w:tc>
                  </w:tr>
                </w:tbl>
                <w:p w14:paraId="0EE9FF02" w14:textId="77777777" w:rsidR="00DA6645" w:rsidRDefault="00DA6645" w:rsidP="00DA6645">
                  <w:pPr>
                    <w:spacing w:line="264" w:lineRule="auto"/>
                    <w:rPr>
                      <w:rFonts w:ascii="Times New Roman" w:eastAsia="Times New Roman" w:hAnsi="Times New Roman" w:cs="Times New Roman"/>
                      <w:sz w:val="20"/>
                      <w:szCs w:val="20"/>
                    </w:rPr>
                  </w:pPr>
                </w:p>
              </w:tc>
            </w:tr>
          </w:tbl>
          <w:p w14:paraId="156ACC53" w14:textId="77777777" w:rsidR="00DA6645" w:rsidRDefault="00DA6645">
            <w:pPr>
              <w:jc w:val="center"/>
              <w:rPr>
                <w:rFonts w:ascii="Times New Roman" w:eastAsia="Times New Roman" w:hAnsi="Times New Roman" w:cs="Times New Roman"/>
                <w:sz w:val="20"/>
                <w:szCs w:val="20"/>
              </w:rPr>
            </w:pPr>
          </w:p>
        </w:tc>
      </w:tr>
      <w:tr w:rsidR="00DA6645" w14:paraId="216158CA" w14:textId="77777777" w:rsidTr="00DA664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A6645" w14:paraId="5E140F8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A6645" w14:paraId="46B340F9" w14:textId="77777777">
                    <w:trPr>
                      <w:tblCellSpacing w:w="0" w:type="dxa"/>
                      <w:jc w:val="center"/>
                    </w:trPr>
                    <w:tc>
                      <w:tcPr>
                        <w:tcW w:w="3000" w:type="dxa"/>
                        <w:tcMar>
                          <w:top w:w="30" w:type="dxa"/>
                          <w:left w:w="75" w:type="dxa"/>
                          <w:bottom w:w="30" w:type="dxa"/>
                          <w:right w:w="75" w:type="dxa"/>
                        </w:tcMar>
                        <w:hideMark/>
                      </w:tcPr>
                      <w:p w14:paraId="0BC696F9" w14:textId="77777777" w:rsidR="00DA6645" w:rsidRDefault="00DA6645">
                        <w:pPr>
                          <w:pStyle w:val="Heading4"/>
                          <w:jc w:val="center"/>
                          <w:rPr>
                            <w:rFonts w:eastAsia="Times New Roman"/>
                          </w:rPr>
                        </w:pPr>
                        <w:r>
                          <w:rPr>
                            <w:rFonts w:eastAsia="Times New Roman"/>
                          </w:rPr>
                          <w:lastRenderedPageBreak/>
                          <w:t>Pharmaceutical Services Negotiating Committee</w:t>
                        </w:r>
                      </w:p>
                      <w:p w14:paraId="5C9A94D0" w14:textId="3C7A349E" w:rsidR="00DA6645" w:rsidRDefault="00DA664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C3825A0" wp14:editId="28FAE6EF">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10853CD" wp14:editId="61828DBD">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83AFCB" wp14:editId="506B2E4C">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FBF428" wp14:editId="11BB45DB">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14BDEE8" w14:textId="77777777" w:rsidR="00DA6645" w:rsidRDefault="00DA664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A6645" w14:paraId="08738CCF" w14:textId="77777777" w:rsidTr="00DA6645">
                    <w:trPr>
                      <w:trHeight w:val="107"/>
                      <w:tblCellSpacing w:w="0" w:type="dxa"/>
                      <w:jc w:val="center"/>
                    </w:trPr>
                    <w:tc>
                      <w:tcPr>
                        <w:tcW w:w="9000" w:type="dxa"/>
                        <w:tcMar>
                          <w:top w:w="150" w:type="dxa"/>
                          <w:left w:w="0" w:type="dxa"/>
                          <w:bottom w:w="0" w:type="dxa"/>
                          <w:right w:w="0" w:type="dxa"/>
                        </w:tcMar>
                        <w:vAlign w:val="center"/>
                        <w:hideMark/>
                      </w:tcPr>
                      <w:p w14:paraId="65D0705D" w14:textId="1092287C" w:rsidR="00DA6645" w:rsidRDefault="00DA6645" w:rsidP="00DA6645">
                        <w:pPr>
                          <w:rPr>
                            <w:rFonts w:ascii="Arial" w:eastAsia="Times New Roman" w:hAnsi="Arial" w:cs="Arial"/>
                            <w:color w:val="FFFFFF"/>
                            <w:sz w:val="17"/>
                            <w:szCs w:val="17"/>
                          </w:rPr>
                        </w:pPr>
                      </w:p>
                    </w:tc>
                  </w:tr>
                </w:tbl>
                <w:p w14:paraId="53ED9FB0" w14:textId="77777777" w:rsidR="00DA6645" w:rsidRDefault="00DA6645">
                  <w:pPr>
                    <w:jc w:val="center"/>
                    <w:rPr>
                      <w:rFonts w:ascii="Times New Roman" w:eastAsia="Times New Roman" w:hAnsi="Times New Roman" w:cs="Times New Roman"/>
                      <w:sz w:val="20"/>
                      <w:szCs w:val="20"/>
                    </w:rPr>
                  </w:pPr>
                </w:p>
              </w:tc>
            </w:tr>
          </w:tbl>
          <w:p w14:paraId="42A3CFA2" w14:textId="77777777" w:rsidR="00DA6645" w:rsidRDefault="00DA6645">
            <w:pPr>
              <w:jc w:val="center"/>
              <w:rPr>
                <w:rFonts w:ascii="Times New Roman" w:eastAsia="Times New Roman" w:hAnsi="Times New Roman" w:cs="Times New Roman"/>
                <w:sz w:val="20"/>
                <w:szCs w:val="20"/>
              </w:rPr>
            </w:pPr>
          </w:p>
        </w:tc>
      </w:tr>
    </w:tbl>
    <w:p w14:paraId="2E97F62E" w14:textId="3ACC0F09" w:rsidR="00DA6645" w:rsidRDefault="00DA6645" w:rsidP="00DA6645">
      <w:pPr>
        <w:rPr>
          <w:rFonts w:eastAsia="Times New Roman"/>
        </w:rPr>
      </w:pPr>
      <w:r>
        <w:rPr>
          <w:rFonts w:eastAsia="Times New Roman"/>
          <w:noProof/>
        </w:rPr>
        <w:drawing>
          <wp:inline distT="0" distB="0" distL="0" distR="0" wp14:anchorId="69D29492" wp14:editId="4C64318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24E4E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45"/>
    <w:rsid w:val="00DA664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DDB8"/>
  <w15:chartTrackingRefBased/>
  <w15:docId w15:val="{93885B03-F448-4C4C-B98C-9E2B3794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45"/>
    <w:rPr>
      <w:rFonts w:ascii="Calibri" w:hAnsi="Calibri" w:cs="Calibri"/>
      <w:lang w:eastAsia="en-GB"/>
    </w:rPr>
  </w:style>
  <w:style w:type="paragraph" w:styleId="Heading1">
    <w:name w:val="heading 1"/>
    <w:basedOn w:val="Normal"/>
    <w:link w:val="Heading1Char"/>
    <w:uiPriority w:val="9"/>
    <w:qFormat/>
    <w:rsid w:val="00DA664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A664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DA664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64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A664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DA6645"/>
    <w:rPr>
      <w:rFonts w:ascii="Tahoma" w:hAnsi="Tahoma" w:cs="Tahoma"/>
      <w:b/>
      <w:bCs/>
      <w:color w:val="FFFFFF"/>
      <w:sz w:val="18"/>
      <w:szCs w:val="18"/>
      <w:lang w:eastAsia="en-GB"/>
    </w:rPr>
  </w:style>
  <w:style w:type="character" w:styleId="Strong">
    <w:name w:val="Strong"/>
    <w:basedOn w:val="DefaultParagraphFont"/>
    <w:uiPriority w:val="22"/>
    <w:qFormat/>
    <w:rsid w:val="00DA6645"/>
    <w:rPr>
      <w:b/>
      <w:bCs/>
    </w:rPr>
  </w:style>
  <w:style w:type="character" w:styleId="Hyperlink">
    <w:name w:val="Hyperlink"/>
    <w:basedOn w:val="DefaultParagraphFont"/>
    <w:uiPriority w:val="99"/>
    <w:semiHidden/>
    <w:unhideWhenUsed/>
    <w:rsid w:val="00DA6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5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e68686261&amp;e=d19e9fd41c" TargetMode="External"/><Relationship Id="rId13" Type="http://schemas.openxmlformats.org/officeDocument/2006/relationships/hyperlink" Target="https://psnc.us7.list-manage.com/track/click?u=86d41ab7fa4c7c2c5d7210782&amp;id=317dfcc3bf&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1a30ecdb3&amp;e=d19e9fd41c" TargetMode="External"/><Relationship Id="rId17" Type="http://schemas.openxmlformats.org/officeDocument/2006/relationships/hyperlink" Target="https://psnc.us7.list-manage.com/track/click?u=86d41ab7fa4c7c2c5d7210782&amp;id=6928ea8ca8&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e4680e96ba&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e28dbe66e&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4411d0b10f&amp;e=d19e9fd41c" TargetMode="External"/><Relationship Id="rId28" Type="http://schemas.openxmlformats.org/officeDocument/2006/relationships/image" Target="https://psnc.us7.list-manage.com/track/open.php?u=86d41ab7fa4c7c2c5d7210782&amp;id=d21ac8b7fd&amp;e=d19e9fd41c" TargetMode="External"/><Relationship Id="rId10" Type="http://schemas.openxmlformats.org/officeDocument/2006/relationships/hyperlink" Target="https://psnc.us7.list-manage.com/track/click?u=86d41ab7fa4c7c2c5d7210782&amp;id=ce0e287a21&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1815db267&amp;e=d19e9fd41c" TargetMode="External"/><Relationship Id="rId14" Type="http://schemas.openxmlformats.org/officeDocument/2006/relationships/hyperlink" Target="https://psnc.us7.list-manage.com/track/click?u=86d41ab7fa4c7c2c5d7210782&amp;id=dc87eefa76&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2022-08-30T07:44:00Z</dcterms:created>
  <dcterms:modified xsi:type="dcterms:W3CDTF">2022-08-30T07:49:00Z</dcterms:modified>
</cp:coreProperties>
</file>