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74298" w14:paraId="66054FA3" w14:textId="77777777" w:rsidTr="00A7429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74298" w14:paraId="233DE40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74298" w14:paraId="3FE84960" w14:textId="77777777">
                    <w:trPr>
                      <w:tblCellSpacing w:w="0" w:type="dxa"/>
                      <w:jc w:val="center"/>
                    </w:trPr>
                    <w:tc>
                      <w:tcPr>
                        <w:tcW w:w="3000" w:type="dxa"/>
                        <w:hideMark/>
                      </w:tcPr>
                      <w:p w14:paraId="36E30FF7" w14:textId="5F4FD260" w:rsidR="00A74298" w:rsidRDefault="00A7429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D53CF20" w14:textId="77777777" w:rsidR="00A74298" w:rsidRDefault="00A74298">
                  <w:pPr>
                    <w:jc w:val="center"/>
                    <w:rPr>
                      <w:rFonts w:ascii="Times New Roman" w:eastAsia="Times New Roman" w:hAnsi="Times New Roman" w:cs="Times New Roman"/>
                      <w:sz w:val="20"/>
                      <w:szCs w:val="20"/>
                    </w:rPr>
                  </w:pPr>
                </w:p>
              </w:tc>
            </w:tr>
            <w:tr w:rsidR="00A74298" w14:paraId="1AFBEC6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74298" w14:paraId="517CAD2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4581078" w14:textId="4379A68D" w:rsidR="00A74298" w:rsidRDefault="00A74298">
                        <w:pPr>
                          <w:jc w:val="center"/>
                          <w:rPr>
                            <w:rFonts w:eastAsia="Times New Roman"/>
                          </w:rPr>
                        </w:pPr>
                        <w:r>
                          <w:rPr>
                            <w:rFonts w:eastAsia="Times New Roman"/>
                            <w:noProof/>
                          </w:rPr>
                          <w:drawing>
                            <wp:inline distT="0" distB="0" distL="0" distR="0" wp14:anchorId="0826EDCA" wp14:editId="2C6F436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74298" w14:paraId="310C73A7" w14:textId="77777777">
                    <w:trPr>
                      <w:tblCellSpacing w:w="0" w:type="dxa"/>
                    </w:trPr>
                    <w:tc>
                      <w:tcPr>
                        <w:tcW w:w="0" w:type="auto"/>
                        <w:vMerge/>
                        <w:tcBorders>
                          <w:top w:val="nil"/>
                          <w:left w:val="nil"/>
                          <w:bottom w:val="single" w:sz="2" w:space="0" w:color="FFFFFF"/>
                          <w:right w:val="nil"/>
                        </w:tcBorders>
                        <w:vAlign w:val="center"/>
                        <w:hideMark/>
                      </w:tcPr>
                      <w:p w14:paraId="370B77AD" w14:textId="77777777" w:rsidR="00A74298" w:rsidRDefault="00A74298">
                        <w:pPr>
                          <w:rPr>
                            <w:rFonts w:eastAsia="Times New Roman"/>
                          </w:rPr>
                        </w:pPr>
                      </w:p>
                    </w:tc>
                    <w:tc>
                      <w:tcPr>
                        <w:tcW w:w="3450" w:type="dxa"/>
                        <w:tcBorders>
                          <w:top w:val="nil"/>
                          <w:left w:val="nil"/>
                          <w:bottom w:val="nil"/>
                          <w:right w:val="nil"/>
                        </w:tcBorders>
                        <w:vAlign w:val="center"/>
                        <w:hideMark/>
                      </w:tcPr>
                      <w:p w14:paraId="4DFAFEC4" w14:textId="77777777" w:rsidR="00A74298" w:rsidRDefault="00A74298">
                        <w:pPr>
                          <w:pStyle w:val="Heading1"/>
                          <w:rPr>
                            <w:rFonts w:eastAsia="Times New Roman"/>
                          </w:rPr>
                        </w:pPr>
                        <w:r>
                          <w:rPr>
                            <w:rFonts w:eastAsia="Times New Roman"/>
                          </w:rPr>
                          <w:t>PSNC Newsletter</w:t>
                        </w:r>
                      </w:p>
                    </w:tc>
                  </w:tr>
                  <w:tr w:rsidR="00A74298" w14:paraId="536DAFFE" w14:textId="77777777">
                    <w:trPr>
                      <w:tblCellSpacing w:w="0" w:type="dxa"/>
                    </w:trPr>
                    <w:tc>
                      <w:tcPr>
                        <w:tcW w:w="0" w:type="auto"/>
                        <w:vMerge/>
                        <w:tcBorders>
                          <w:top w:val="nil"/>
                          <w:left w:val="nil"/>
                          <w:bottom w:val="single" w:sz="2" w:space="0" w:color="FFFFFF"/>
                          <w:right w:val="nil"/>
                        </w:tcBorders>
                        <w:vAlign w:val="center"/>
                        <w:hideMark/>
                      </w:tcPr>
                      <w:p w14:paraId="45BDAE53" w14:textId="77777777" w:rsidR="00A74298" w:rsidRDefault="00A7429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8D58C22" w14:textId="77777777" w:rsidR="00A74298" w:rsidRDefault="00A74298">
                        <w:pPr>
                          <w:pStyle w:val="Heading2"/>
                          <w:rPr>
                            <w:rFonts w:eastAsia="Times New Roman"/>
                            <w:color w:val="93378A"/>
                          </w:rPr>
                        </w:pPr>
                        <w:r>
                          <w:rPr>
                            <w:rFonts w:eastAsia="Times New Roman"/>
                            <w:color w:val="93378A"/>
                          </w:rPr>
                          <w:t>Monday 22nd August 2022</w:t>
                        </w:r>
                      </w:p>
                    </w:tc>
                  </w:tr>
                </w:tbl>
                <w:p w14:paraId="32059398" w14:textId="77777777" w:rsidR="00A74298" w:rsidRDefault="00A74298">
                  <w:pPr>
                    <w:rPr>
                      <w:rFonts w:ascii="Times New Roman" w:eastAsia="Times New Roman" w:hAnsi="Times New Roman" w:cs="Times New Roman"/>
                      <w:sz w:val="20"/>
                      <w:szCs w:val="20"/>
                    </w:rPr>
                  </w:pPr>
                </w:p>
              </w:tc>
            </w:tr>
            <w:tr w:rsidR="00A74298" w14:paraId="725C51FE" w14:textId="77777777">
              <w:tblPrEx>
                <w:shd w:val="clear" w:color="auto" w:fill="auto"/>
              </w:tblPrEx>
              <w:trPr>
                <w:tblCellSpacing w:w="0" w:type="dxa"/>
                <w:jc w:val="center"/>
              </w:trPr>
              <w:tc>
                <w:tcPr>
                  <w:tcW w:w="9000" w:type="dxa"/>
                  <w:hideMark/>
                </w:tcPr>
                <w:p w14:paraId="4DA948D7" w14:textId="55567B26" w:rsidR="00A74298" w:rsidRDefault="00A74298">
                  <w:pPr>
                    <w:rPr>
                      <w:rFonts w:eastAsia="Times New Roman"/>
                    </w:rPr>
                  </w:pPr>
                  <w:r>
                    <w:rPr>
                      <w:rFonts w:eastAsia="Times New Roman"/>
                      <w:noProof/>
                    </w:rPr>
                    <w:drawing>
                      <wp:inline distT="0" distB="0" distL="0" distR="0" wp14:anchorId="587D256A" wp14:editId="48CF575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74298" w14:paraId="379D7C7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A74298" w14:paraId="3E2472C2" w14:textId="77777777">
                    <w:trPr>
                      <w:trHeight w:val="150"/>
                      <w:tblCellSpacing w:w="15" w:type="dxa"/>
                      <w:jc w:val="center"/>
                    </w:trPr>
                    <w:tc>
                      <w:tcPr>
                        <w:tcW w:w="150" w:type="dxa"/>
                        <w:vAlign w:val="center"/>
                        <w:hideMark/>
                      </w:tcPr>
                      <w:p w14:paraId="5AC28112" w14:textId="77777777" w:rsidR="00A74298" w:rsidRDefault="00A74298" w:rsidP="00A74298">
                        <w:pPr>
                          <w:spacing w:line="264" w:lineRule="auto"/>
                          <w:rPr>
                            <w:rFonts w:eastAsia="Times New Roman"/>
                          </w:rPr>
                        </w:pPr>
                      </w:p>
                    </w:tc>
                    <w:tc>
                      <w:tcPr>
                        <w:tcW w:w="8700" w:type="dxa"/>
                        <w:vAlign w:val="center"/>
                        <w:hideMark/>
                      </w:tcPr>
                      <w:p w14:paraId="72DE7CDB" w14:textId="77777777" w:rsidR="00A74298" w:rsidRDefault="00A74298" w:rsidP="00A74298">
                        <w:pPr>
                          <w:spacing w:line="264" w:lineRule="auto"/>
                          <w:rPr>
                            <w:rFonts w:ascii="Times New Roman" w:eastAsia="Times New Roman" w:hAnsi="Times New Roman" w:cs="Times New Roman"/>
                            <w:sz w:val="20"/>
                            <w:szCs w:val="20"/>
                          </w:rPr>
                        </w:pPr>
                      </w:p>
                    </w:tc>
                    <w:tc>
                      <w:tcPr>
                        <w:tcW w:w="150" w:type="dxa"/>
                        <w:vAlign w:val="center"/>
                        <w:hideMark/>
                      </w:tcPr>
                      <w:p w14:paraId="5C68DE49" w14:textId="77777777" w:rsidR="00A74298" w:rsidRDefault="00A74298" w:rsidP="00A74298">
                        <w:pPr>
                          <w:spacing w:line="264" w:lineRule="auto"/>
                          <w:rPr>
                            <w:rFonts w:ascii="Times New Roman" w:eastAsia="Times New Roman" w:hAnsi="Times New Roman" w:cs="Times New Roman"/>
                            <w:sz w:val="20"/>
                            <w:szCs w:val="20"/>
                          </w:rPr>
                        </w:pPr>
                      </w:p>
                    </w:tc>
                  </w:tr>
                  <w:tr w:rsidR="00A74298" w14:paraId="1495E30D" w14:textId="77777777">
                    <w:trPr>
                      <w:tblCellSpacing w:w="15" w:type="dxa"/>
                      <w:jc w:val="center"/>
                    </w:trPr>
                    <w:tc>
                      <w:tcPr>
                        <w:tcW w:w="150" w:type="dxa"/>
                        <w:vAlign w:val="center"/>
                        <w:hideMark/>
                      </w:tcPr>
                      <w:p w14:paraId="175346F5" w14:textId="77777777" w:rsidR="00A74298" w:rsidRDefault="00A74298" w:rsidP="00A74298">
                        <w:pPr>
                          <w:spacing w:line="264" w:lineRule="auto"/>
                          <w:rPr>
                            <w:rFonts w:ascii="Times New Roman" w:eastAsia="Times New Roman" w:hAnsi="Times New Roman" w:cs="Times New Roman"/>
                            <w:sz w:val="20"/>
                            <w:szCs w:val="20"/>
                          </w:rPr>
                        </w:pPr>
                      </w:p>
                    </w:tc>
                    <w:tc>
                      <w:tcPr>
                        <w:tcW w:w="8700" w:type="dxa"/>
                        <w:vAlign w:val="center"/>
                        <w:hideMark/>
                      </w:tcPr>
                      <w:p w14:paraId="70D5ED9B" w14:textId="77777777" w:rsidR="00A74298" w:rsidRDefault="00A74298" w:rsidP="00A7429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A0953E2" w14:textId="77777777" w:rsidR="00A74298" w:rsidRDefault="00A74298" w:rsidP="00A7429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1134D7">
                            <v:rect id="_x0000_i1032" style="width:468pt;height:1.5pt" o:hrstd="t" o:hr="t" fillcolor="#a0a0a0" stroked="f"/>
                          </w:pict>
                        </w:r>
                      </w:p>
                      <w:p w14:paraId="32E3F99E" w14:textId="77777777" w:rsidR="00A74298" w:rsidRDefault="00A74298" w:rsidP="00A74298">
                        <w:pPr>
                          <w:pStyle w:val="Heading2"/>
                          <w:spacing w:after="0"/>
                          <w:rPr>
                            <w:rFonts w:eastAsia="Times New Roman"/>
                          </w:rPr>
                        </w:pPr>
                        <w:r>
                          <w:rPr>
                            <w:rFonts w:eastAsia="Times New Roman"/>
                          </w:rPr>
                          <w:t>In this update: Price Concessions webinar; CPAF screening deadline approaching; flu vac service FAQs.</w:t>
                        </w:r>
                      </w:p>
                      <w:p w14:paraId="6EEBE72E" w14:textId="77777777" w:rsidR="00A74298" w:rsidRDefault="00A74298" w:rsidP="00A7429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24F413">
                            <v:rect id="_x0000_i1033" style="width:468pt;height:1.5pt" o:hrstd="t" o:hr="t" fillcolor="#a0a0a0" stroked="f"/>
                          </w:pict>
                        </w:r>
                      </w:p>
                      <w:p w14:paraId="6B10C62C" w14:textId="77777777" w:rsidR="00A74298" w:rsidRDefault="00A74298" w:rsidP="00A74298">
                        <w:pPr>
                          <w:pStyle w:val="Heading2"/>
                          <w:spacing w:after="0"/>
                          <w:rPr>
                            <w:rFonts w:eastAsia="Times New Roman"/>
                          </w:rPr>
                        </w:pPr>
                        <w:r>
                          <w:rPr>
                            <w:rFonts w:eastAsia="Times New Roman"/>
                          </w:rPr>
                          <w:t>Book now for PSNC’s Price Concessions Webinar </w:t>
                        </w:r>
                      </w:p>
                      <w:p w14:paraId="7D8F6690" w14:textId="77777777" w:rsidR="00A74298" w:rsidRDefault="00A74298" w:rsidP="00A7429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Director of Pharmacy Funding, Mike Dent, and Drug Tariff and Reimbursement Manager, Suraj Shah, will be hosting a PSNC webinar about price concessions on </w:t>
                        </w:r>
                        <w:r>
                          <w:rPr>
                            <w:rStyle w:val="Strong"/>
                            <w:rFonts w:ascii="Tahoma" w:eastAsia="Times New Roman" w:hAnsi="Tahoma" w:cs="Tahoma"/>
                            <w:color w:val="303030"/>
                            <w:sz w:val="21"/>
                            <w:szCs w:val="21"/>
                          </w:rPr>
                          <w:t>Wednesday 7th September at 7.30pm.</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t>PSNC recognises that medicines supply and pricing issues are putting significantly increased pressure on community pharmacy contractors and their teams. We are taking steps to support contractors through a series of guidance materials. Our latest support comes in the form of a webinar that aims to explain more about how concession prices are reached.</w:t>
                        </w:r>
                        <w:r>
                          <w:rPr>
                            <w:rFonts w:ascii="Tahoma" w:eastAsia="Times New Roman" w:hAnsi="Tahoma" w:cs="Tahoma"/>
                            <w:color w:val="303030"/>
                            <w:sz w:val="21"/>
                            <w:szCs w:val="21"/>
                          </w:rPr>
                          <w:br/>
                        </w:r>
                        <w:r>
                          <w:rPr>
                            <w:rFonts w:ascii="Tahoma" w:eastAsia="Times New Roman" w:hAnsi="Tahoma" w:cs="Tahoma"/>
                            <w:color w:val="303030"/>
                            <w:sz w:val="21"/>
                            <w:szCs w:val="21"/>
                          </w:rPr>
                          <w:br/>
                          <w:t>The webinar will help address a range of questions, including how price concessions are negotiated, what the impact of price concessions is on overall funding, and how PSNC is working to improve the price concessions system.</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Register for the price concessions webinar</w:t>
                          </w:r>
                        </w:hyperlink>
                        <w:r>
                          <w:rPr>
                            <w:rFonts w:ascii="Tahoma" w:eastAsia="Times New Roman" w:hAnsi="Tahoma" w:cs="Tahoma"/>
                            <w:color w:val="303030"/>
                            <w:sz w:val="21"/>
                            <w:szCs w:val="21"/>
                          </w:rPr>
                          <w:t xml:space="preserve"> </w:t>
                        </w:r>
                      </w:p>
                      <w:p w14:paraId="015EA7C4" w14:textId="77777777" w:rsidR="00A74298" w:rsidRDefault="00A74298" w:rsidP="00A7429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BB439D2">
                            <v:rect id="_x0000_i1034" style="width:468pt;height:1.5pt" o:hrstd="t" o:hr="t" fillcolor="#a0a0a0" stroked="f"/>
                          </w:pict>
                        </w:r>
                      </w:p>
                      <w:p w14:paraId="2756AAA6" w14:textId="77777777" w:rsidR="00A74298" w:rsidRDefault="00A74298" w:rsidP="00A74298">
                        <w:pPr>
                          <w:pStyle w:val="Heading2"/>
                          <w:spacing w:after="0"/>
                          <w:rPr>
                            <w:rFonts w:eastAsia="Times New Roman"/>
                          </w:rPr>
                        </w:pPr>
                        <w:r>
                          <w:rPr>
                            <w:rFonts w:eastAsia="Times New Roman"/>
                          </w:rPr>
                          <w:t>Just over a week left to complete CPAF screening survey </w:t>
                        </w:r>
                      </w:p>
                      <w:p w14:paraId="42DD6EBC" w14:textId="14469135" w:rsidR="00A74298" w:rsidRDefault="00A74298" w:rsidP="00A7429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have just over a week left to complete the Community Pharmacy Assurance Framework (CPAF) screening questionnaire before the deadline of </w:t>
                        </w:r>
                        <w:r>
                          <w:rPr>
                            <w:rStyle w:val="Strong"/>
                            <w:rFonts w:ascii="Tahoma" w:eastAsia="Times New Roman" w:hAnsi="Tahoma" w:cs="Tahoma"/>
                            <w:color w:val="303030"/>
                            <w:sz w:val="21"/>
                            <w:szCs w:val="21"/>
                          </w:rPr>
                          <w:t>midnight on Wednesday 31st August 2022. </w:t>
                        </w:r>
                        <w:r>
                          <w:rPr>
                            <w:rFonts w:ascii="Tahoma" w:eastAsia="Times New Roman" w:hAnsi="Tahoma" w:cs="Tahoma"/>
                            <w:color w:val="303030"/>
                            <w:sz w:val="21"/>
                            <w:szCs w:val="21"/>
                          </w:rPr>
                          <w:t xml:space="preserve">  </w:t>
                        </w:r>
                      </w:p>
                      <w:p w14:paraId="723D5A0B" w14:textId="77777777" w:rsidR="00A74298" w:rsidRDefault="00A74298" w:rsidP="00A74298">
                        <w:pPr>
                          <w:spacing w:line="264" w:lineRule="auto"/>
                          <w:rPr>
                            <w:rFonts w:ascii="Tahoma" w:eastAsia="Times New Roman" w:hAnsi="Tahoma" w:cs="Tahoma"/>
                            <w:color w:val="303030"/>
                            <w:sz w:val="21"/>
                            <w:szCs w:val="21"/>
                          </w:rPr>
                        </w:pPr>
                      </w:p>
                      <w:p w14:paraId="43EDEBC4" w14:textId="36B45640" w:rsidR="00A74298" w:rsidRDefault="00A74298" w:rsidP="00A7429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recommends that any contractor who has yet to do so takes immediate action. It should only take approximately 10-20 minutes to complete.  </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CPAF screening survey</w:t>
                          </w:r>
                        </w:hyperlink>
                      </w:p>
                      <w:p w14:paraId="3F5DB1A3" w14:textId="77777777" w:rsidR="00A74298" w:rsidRDefault="00A74298" w:rsidP="00A74298">
                        <w:pPr>
                          <w:pStyle w:val="NormalWeb"/>
                          <w:spacing w:before="0" w:beforeAutospacing="0" w:after="0" w:afterAutospacing="0" w:line="264" w:lineRule="auto"/>
                          <w:rPr>
                            <w:rFonts w:ascii="Tahoma" w:hAnsi="Tahoma" w:cs="Tahoma"/>
                            <w:color w:val="303030"/>
                            <w:sz w:val="21"/>
                            <w:szCs w:val="21"/>
                          </w:rPr>
                        </w:pP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5"/>
                        </w:tblGrid>
                        <w:tr w:rsidR="00A74298" w14:paraId="0CDA6A2F" w14:textId="77777777">
                          <w:trPr>
                            <w:tblCellSpacing w:w="15" w:type="dxa"/>
                          </w:trPr>
                          <w:tc>
                            <w:tcPr>
                              <w:tcW w:w="0" w:type="auto"/>
                              <w:shd w:val="clear" w:color="auto" w:fill="4E3487"/>
                              <w:vAlign w:val="center"/>
                              <w:hideMark/>
                            </w:tcPr>
                            <w:p w14:paraId="197A88AF" w14:textId="77777777" w:rsidR="00A74298" w:rsidRDefault="00A74298" w:rsidP="00A74298">
                              <w:pPr>
                                <w:pStyle w:val="Heading3"/>
                                <w:spacing w:after="0"/>
                                <w:rPr>
                                  <w:rFonts w:eastAsia="Times New Roman"/>
                                </w:rPr>
                              </w:pPr>
                              <w:r>
                                <w:rPr>
                                  <w:rFonts w:eastAsia="Times New Roman"/>
                                  <w:color w:val="FFFFFF"/>
                                </w:rPr>
                                <w:t>Have you seen our latest FAQs?</w:t>
                              </w:r>
                            </w:p>
                          </w:tc>
                        </w:tr>
                      </w:tbl>
                      <w:p w14:paraId="322840ED" w14:textId="77777777" w:rsidR="00A74298" w:rsidRDefault="00A74298" w:rsidP="00A7429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training for the </w:t>
                        </w:r>
                        <w:r>
                          <w:rPr>
                            <w:rStyle w:val="Strong"/>
                            <w:rFonts w:ascii="Tahoma" w:hAnsi="Tahoma" w:cs="Tahoma"/>
                            <w:color w:val="303030"/>
                            <w:sz w:val="21"/>
                            <w:szCs w:val="21"/>
                          </w:rPr>
                          <w:t>Flu vaccination service</w:t>
                        </w:r>
                        <w:r>
                          <w:rPr>
                            <w:rFonts w:ascii="Tahoma" w:hAnsi="Tahoma" w:cs="Tahoma"/>
                            <w:color w:val="303030"/>
                            <w:sz w:val="21"/>
                            <w:szCs w:val="21"/>
                          </w:rPr>
                          <w:t> include:</w:t>
                        </w:r>
                      </w:p>
                      <w:p w14:paraId="4D4F923F" w14:textId="087492A2" w:rsidR="00A74298" w:rsidRDefault="00A74298" w:rsidP="00A7429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lastRenderedPageBreak/>
                          <w:t xml:space="preserve">Q. What are the knowledge and skills required </w:t>
                        </w:r>
                        <w:proofErr w:type="gramStart"/>
                        <w:r>
                          <w:rPr>
                            <w:rStyle w:val="Strong"/>
                            <w:rFonts w:ascii="Tahoma" w:hAnsi="Tahoma" w:cs="Tahoma"/>
                            <w:color w:val="303030"/>
                            <w:sz w:val="21"/>
                            <w:szCs w:val="21"/>
                          </w:rPr>
                          <w:t>in order to</w:t>
                        </w:r>
                        <w:proofErr w:type="gramEnd"/>
                        <w:r>
                          <w:rPr>
                            <w:rStyle w:val="Strong"/>
                            <w:rFonts w:ascii="Tahoma" w:hAnsi="Tahoma" w:cs="Tahoma"/>
                            <w:color w:val="303030"/>
                            <w:sz w:val="21"/>
                            <w:szCs w:val="21"/>
                          </w:rPr>
                          <w:t xml:space="preserve"> provide a vaccination service?</w:t>
                        </w:r>
                        <w:r>
                          <w:rPr>
                            <w:rFonts w:ascii="Tahoma" w:hAnsi="Tahoma" w:cs="Tahoma"/>
                            <w:color w:val="303030"/>
                            <w:sz w:val="21"/>
                            <w:szCs w:val="21"/>
                          </w:rPr>
                          <w:br/>
                        </w:r>
                        <w:r>
                          <w:rPr>
                            <w:rStyle w:val="Strong"/>
                            <w:rFonts w:ascii="Tahoma" w:hAnsi="Tahoma" w:cs="Tahoma"/>
                            <w:color w:val="303030"/>
                            <w:sz w:val="21"/>
                            <w:szCs w:val="21"/>
                          </w:rPr>
                          <w:t>A. </w:t>
                        </w:r>
                        <w:r>
                          <w:rPr>
                            <w:rFonts w:ascii="Tahoma" w:hAnsi="Tahoma" w:cs="Tahoma"/>
                            <w:color w:val="303030"/>
                            <w:sz w:val="21"/>
                            <w:szCs w:val="21"/>
                          </w:rPr>
                          <w:t xml:space="preserve">The </w:t>
                        </w:r>
                        <w:hyperlink r:id="rId10" w:tgtFrame="_blank" w:history="1">
                          <w:r>
                            <w:rPr>
                              <w:rStyle w:val="Hyperlink"/>
                              <w:rFonts w:ascii="Tahoma" w:hAnsi="Tahoma" w:cs="Tahoma"/>
                              <w:b/>
                              <w:bCs/>
                              <w:color w:val="4E3487"/>
                              <w:sz w:val="21"/>
                              <w:szCs w:val="21"/>
                            </w:rPr>
                            <w:t>National Minimum Standards and Core Curriculum for Immunisation Training for Registered Healthcare Practitioners</w:t>
                          </w:r>
                        </w:hyperlink>
                        <w:r>
                          <w:rPr>
                            <w:rFonts w:ascii="Tahoma" w:hAnsi="Tahoma" w:cs="Tahoma"/>
                            <w:color w:val="303030"/>
                            <w:sz w:val="21"/>
                            <w:szCs w:val="21"/>
                          </w:rPr>
                          <w:t xml:space="preserve"> set out the knowledge and skills that healthcare professionals undertaking vaccination services need to have. NHS England has determined that pharmacists providing the Flu Vaccination Service need to attend face-to-face training for both injection technique and basic life support training periodically.</w:t>
                        </w:r>
                      </w:p>
                      <w:p w14:paraId="00AA660A" w14:textId="77777777" w:rsidR="00A74298" w:rsidRDefault="00A74298" w:rsidP="00A7429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and vaccinators need to consider when it would be appropriate to attend refresher training or if ongoing competence of an individual vaccinator can be evidenced, without the need for face-to-face training. An individual’s continued competence may be influenced by their prior experience vaccinating patients, including the overall number of vaccines administered and the regularity with which they administer vaccines.</w:t>
                        </w:r>
                      </w:p>
                      <w:p w14:paraId="2419375F" w14:textId="7B2A1136" w:rsidR="00A74298" w:rsidRDefault="00A74298" w:rsidP="00A7429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standards recommend that immunisers keep a portfolio of completed competency checklists, knowledge test score sheets, reflective logs, completion of e-learning course certificates and certificates of attendance at immunisation training courses and updates. This will provide vaccinators with a means to be able to show evidence of completion of training and achievement of competence to both current and future employers. It will also provide useful evidence of continuing professional development for professional revalidation.</w:t>
                        </w:r>
                      </w:p>
                      <w:p w14:paraId="17E345F2" w14:textId="77777777" w:rsidR="00A74298" w:rsidRDefault="00A74298" w:rsidP="00A74298">
                        <w:pPr>
                          <w:pStyle w:val="NormalWeb"/>
                          <w:spacing w:before="0" w:beforeAutospacing="0" w:after="0" w:afterAutospacing="0" w:line="264" w:lineRule="auto"/>
                          <w:rPr>
                            <w:rFonts w:ascii="Tahoma" w:hAnsi="Tahoma" w:cs="Tahoma"/>
                            <w:color w:val="303030"/>
                            <w:sz w:val="21"/>
                            <w:szCs w:val="21"/>
                          </w:rPr>
                        </w:pPr>
                      </w:p>
                      <w:p w14:paraId="766DF1A7" w14:textId="04FF1C2D" w:rsidR="00A74298" w:rsidRDefault="00A74298" w:rsidP="00A7429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 xml:space="preserve">Q. I completed face-to-face training covering injection technique and basic life support last year, but I have been told that unless I vaccinated over a specific number of patients last </w:t>
                        </w:r>
                        <w:proofErr w:type="gramStart"/>
                        <w:r>
                          <w:rPr>
                            <w:rStyle w:val="Strong"/>
                            <w:rFonts w:ascii="Tahoma" w:hAnsi="Tahoma" w:cs="Tahoma"/>
                            <w:color w:val="303030"/>
                            <w:sz w:val="21"/>
                            <w:szCs w:val="21"/>
                          </w:rPr>
                          <w:t>year</w:t>
                        </w:r>
                        <w:proofErr w:type="gramEnd"/>
                        <w:r>
                          <w:rPr>
                            <w:rStyle w:val="Strong"/>
                            <w:rFonts w:ascii="Tahoma" w:hAnsi="Tahoma" w:cs="Tahoma"/>
                            <w:color w:val="303030"/>
                            <w:sz w:val="21"/>
                            <w:szCs w:val="21"/>
                          </w:rPr>
                          <w:t xml:space="preserve"> I will need to redo the training again this year. Does this apply to the NHS Advanced Flu Vaccination Service? </w:t>
                        </w:r>
                        <w:r>
                          <w:rPr>
                            <w:rFonts w:ascii="Tahoma" w:hAnsi="Tahoma" w:cs="Tahoma"/>
                            <w:color w:val="303030"/>
                            <w:sz w:val="21"/>
                            <w:szCs w:val="21"/>
                          </w:rPr>
                          <w:br/>
                        </w:r>
                        <w:r>
                          <w:rPr>
                            <w:rStyle w:val="Strong"/>
                            <w:rFonts w:ascii="Tahoma" w:hAnsi="Tahoma" w:cs="Tahoma"/>
                            <w:color w:val="303030"/>
                            <w:sz w:val="21"/>
                            <w:szCs w:val="21"/>
                          </w:rPr>
                          <w:t>A.</w:t>
                        </w:r>
                        <w:r>
                          <w:rPr>
                            <w:rFonts w:ascii="Tahoma" w:hAnsi="Tahoma" w:cs="Tahoma"/>
                            <w:color w:val="303030"/>
                            <w:sz w:val="21"/>
                            <w:szCs w:val="21"/>
                          </w:rPr>
                          <w:t xml:space="preserve"> No, this does not apply to the NHS Advanced Flu Vaccination Service. NHS England has determined that pharmacists providing the Flu Vaccination Service need to attend face-to-face training for both injection technique and basic life support training periodically, irrespective of how many vaccines are administered each year.</w:t>
                        </w:r>
                        <w:r>
                          <w:rPr>
                            <w:rFonts w:ascii="Tahoma" w:hAnsi="Tahoma" w:cs="Tahoma"/>
                            <w:color w:val="303030"/>
                            <w:sz w:val="21"/>
                            <w:szCs w:val="21"/>
                          </w:rPr>
                          <w:br/>
                        </w:r>
                        <w:r>
                          <w:rPr>
                            <w:rFonts w:ascii="Tahoma" w:hAnsi="Tahoma" w:cs="Tahoma"/>
                            <w:color w:val="303030"/>
                            <w:sz w:val="21"/>
                            <w:szCs w:val="21"/>
                          </w:rPr>
                          <w:br/>
                          <w:t>If you are providing private flu vaccinations (not as part of the NHS Advanced Flu Vaccination Service) there may be minimum activity requirements in order for your training to be valid; this should be verified with the private PGD provider.</w:t>
                        </w:r>
                        <w:r>
                          <w:rPr>
                            <w:rFonts w:ascii="Tahoma" w:hAnsi="Tahoma" w:cs="Tahoma"/>
                            <w:color w:val="303030"/>
                            <w:sz w:val="21"/>
                            <w:szCs w:val="21"/>
                          </w:rPr>
                          <w:br/>
                        </w:r>
                        <w:r>
                          <w:rPr>
                            <w:rFonts w:ascii="Tahoma" w:hAnsi="Tahoma" w:cs="Tahoma"/>
                            <w:color w:val="303030"/>
                            <w:sz w:val="21"/>
                            <w:szCs w:val="21"/>
                          </w:rPr>
                          <w:br/>
                          <w:t xml:space="preserve">Further information can be found in PSNC's </w:t>
                        </w:r>
                        <w:hyperlink r:id="rId11" w:tgtFrame="_blank" w:history="1">
                          <w:r>
                            <w:rPr>
                              <w:rStyle w:val="Hyperlink"/>
                              <w:rFonts w:ascii="Tahoma" w:hAnsi="Tahoma" w:cs="Tahoma"/>
                              <w:b/>
                              <w:bCs/>
                              <w:color w:val="4E3487"/>
                              <w:sz w:val="21"/>
                              <w:szCs w:val="21"/>
                            </w:rPr>
                            <w:t>Flu Vaccination Service hub</w:t>
                          </w:r>
                        </w:hyperlink>
                      </w:p>
                    </w:tc>
                    <w:tc>
                      <w:tcPr>
                        <w:tcW w:w="150" w:type="dxa"/>
                        <w:vAlign w:val="center"/>
                        <w:hideMark/>
                      </w:tcPr>
                      <w:p w14:paraId="72DC9D92" w14:textId="77777777" w:rsidR="00A74298" w:rsidRDefault="00A74298" w:rsidP="00A74298">
                        <w:pPr>
                          <w:spacing w:line="264" w:lineRule="auto"/>
                          <w:rPr>
                            <w:rFonts w:ascii="Tahoma" w:hAnsi="Tahoma" w:cs="Tahoma"/>
                            <w:color w:val="303030"/>
                            <w:sz w:val="21"/>
                            <w:szCs w:val="21"/>
                          </w:rPr>
                        </w:pPr>
                      </w:p>
                    </w:tc>
                  </w:tr>
                  <w:tr w:rsidR="00A74298" w14:paraId="7DB30A17" w14:textId="77777777">
                    <w:trPr>
                      <w:trHeight w:val="150"/>
                      <w:tblCellSpacing w:w="15" w:type="dxa"/>
                      <w:jc w:val="center"/>
                    </w:trPr>
                    <w:tc>
                      <w:tcPr>
                        <w:tcW w:w="150" w:type="dxa"/>
                        <w:vAlign w:val="center"/>
                        <w:hideMark/>
                      </w:tcPr>
                      <w:p w14:paraId="55342AAF" w14:textId="77777777" w:rsidR="00A74298" w:rsidRDefault="00A74298" w:rsidP="00A74298">
                        <w:pPr>
                          <w:spacing w:line="264" w:lineRule="auto"/>
                          <w:rPr>
                            <w:rFonts w:ascii="Times New Roman" w:eastAsia="Times New Roman" w:hAnsi="Times New Roman" w:cs="Times New Roman"/>
                            <w:sz w:val="20"/>
                            <w:szCs w:val="20"/>
                          </w:rPr>
                        </w:pPr>
                      </w:p>
                    </w:tc>
                    <w:tc>
                      <w:tcPr>
                        <w:tcW w:w="8700" w:type="dxa"/>
                        <w:vAlign w:val="center"/>
                        <w:hideMark/>
                      </w:tcPr>
                      <w:p w14:paraId="4D5667EC" w14:textId="77777777" w:rsidR="00A74298" w:rsidRDefault="00A74298" w:rsidP="00A74298">
                        <w:pPr>
                          <w:spacing w:line="264" w:lineRule="auto"/>
                          <w:rPr>
                            <w:rFonts w:ascii="Times New Roman" w:eastAsia="Times New Roman" w:hAnsi="Times New Roman" w:cs="Times New Roman"/>
                            <w:sz w:val="20"/>
                            <w:szCs w:val="20"/>
                          </w:rPr>
                        </w:pPr>
                      </w:p>
                    </w:tc>
                    <w:tc>
                      <w:tcPr>
                        <w:tcW w:w="150" w:type="dxa"/>
                        <w:vAlign w:val="center"/>
                        <w:hideMark/>
                      </w:tcPr>
                      <w:p w14:paraId="06DD953D" w14:textId="77777777" w:rsidR="00A74298" w:rsidRDefault="00A74298" w:rsidP="00A74298">
                        <w:pPr>
                          <w:spacing w:line="264" w:lineRule="auto"/>
                          <w:rPr>
                            <w:rFonts w:ascii="Times New Roman" w:eastAsia="Times New Roman" w:hAnsi="Times New Roman" w:cs="Times New Roman"/>
                            <w:sz w:val="20"/>
                            <w:szCs w:val="20"/>
                          </w:rPr>
                        </w:pPr>
                      </w:p>
                    </w:tc>
                  </w:tr>
                </w:tbl>
                <w:p w14:paraId="589718C1" w14:textId="77777777" w:rsidR="00A74298" w:rsidRDefault="00A74298" w:rsidP="00A74298">
                  <w:pPr>
                    <w:spacing w:line="264" w:lineRule="auto"/>
                    <w:rPr>
                      <w:rFonts w:ascii="Times New Roman" w:eastAsia="Times New Roman" w:hAnsi="Times New Roman" w:cs="Times New Roman"/>
                      <w:sz w:val="20"/>
                      <w:szCs w:val="20"/>
                    </w:rPr>
                  </w:pPr>
                </w:p>
              </w:tc>
            </w:tr>
          </w:tbl>
          <w:p w14:paraId="2FBC4DE6" w14:textId="77777777" w:rsidR="00A74298" w:rsidRDefault="00A74298">
            <w:pPr>
              <w:jc w:val="center"/>
              <w:rPr>
                <w:rFonts w:ascii="Times New Roman" w:eastAsia="Times New Roman" w:hAnsi="Times New Roman" w:cs="Times New Roman"/>
                <w:sz w:val="20"/>
                <w:szCs w:val="20"/>
              </w:rPr>
            </w:pPr>
          </w:p>
        </w:tc>
      </w:tr>
      <w:tr w:rsidR="00A74298" w14:paraId="179370C6" w14:textId="77777777" w:rsidTr="00A7429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74298" w14:paraId="1EAEB61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74298" w14:paraId="52B271EE" w14:textId="77777777">
                    <w:trPr>
                      <w:tblCellSpacing w:w="0" w:type="dxa"/>
                      <w:jc w:val="center"/>
                    </w:trPr>
                    <w:tc>
                      <w:tcPr>
                        <w:tcW w:w="3000" w:type="dxa"/>
                        <w:tcMar>
                          <w:top w:w="30" w:type="dxa"/>
                          <w:left w:w="75" w:type="dxa"/>
                          <w:bottom w:w="30" w:type="dxa"/>
                          <w:right w:w="75" w:type="dxa"/>
                        </w:tcMar>
                        <w:hideMark/>
                      </w:tcPr>
                      <w:p w14:paraId="74CD0D4F" w14:textId="77777777" w:rsidR="00A74298" w:rsidRDefault="00A74298">
                        <w:pPr>
                          <w:pStyle w:val="Heading4"/>
                          <w:jc w:val="center"/>
                          <w:rPr>
                            <w:rFonts w:eastAsia="Times New Roman"/>
                          </w:rPr>
                        </w:pPr>
                        <w:r>
                          <w:rPr>
                            <w:rFonts w:eastAsia="Times New Roman"/>
                          </w:rPr>
                          <w:lastRenderedPageBreak/>
                          <w:t>Pharmaceutical Services Negotiating Committee</w:t>
                        </w:r>
                      </w:p>
                      <w:p w14:paraId="79847B85" w14:textId="2DFBF540" w:rsidR="00A74298" w:rsidRDefault="00A7429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1AFA9E" wp14:editId="7BF62BD1">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20D4441" wp14:editId="2A4B8F64">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2006F0C" wp14:editId="2B6FBEC6">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B0D588" wp14:editId="049AA9CD">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A8385D7" w14:textId="77777777" w:rsidR="00A74298" w:rsidRDefault="00A7429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74298" w14:paraId="2A81A104" w14:textId="77777777" w:rsidTr="00A74298">
                    <w:trPr>
                      <w:trHeight w:val="53"/>
                      <w:tblCellSpacing w:w="0" w:type="dxa"/>
                      <w:jc w:val="center"/>
                    </w:trPr>
                    <w:tc>
                      <w:tcPr>
                        <w:tcW w:w="9000" w:type="dxa"/>
                        <w:tcMar>
                          <w:top w:w="150" w:type="dxa"/>
                          <w:left w:w="0" w:type="dxa"/>
                          <w:bottom w:w="0" w:type="dxa"/>
                          <w:right w:w="0" w:type="dxa"/>
                        </w:tcMar>
                        <w:vAlign w:val="center"/>
                        <w:hideMark/>
                      </w:tcPr>
                      <w:p w14:paraId="22C995B9" w14:textId="595A971B" w:rsidR="00A74298" w:rsidRDefault="00A74298" w:rsidP="00A74298">
                        <w:pPr>
                          <w:rPr>
                            <w:rFonts w:ascii="Arial" w:eastAsia="Times New Roman" w:hAnsi="Arial" w:cs="Arial"/>
                            <w:color w:val="FFFFFF"/>
                            <w:sz w:val="17"/>
                            <w:szCs w:val="17"/>
                          </w:rPr>
                        </w:pPr>
                      </w:p>
                    </w:tc>
                  </w:tr>
                </w:tbl>
                <w:p w14:paraId="4A0AE2E1" w14:textId="77777777" w:rsidR="00A74298" w:rsidRDefault="00A74298">
                  <w:pPr>
                    <w:jc w:val="center"/>
                    <w:rPr>
                      <w:rFonts w:ascii="Times New Roman" w:eastAsia="Times New Roman" w:hAnsi="Times New Roman" w:cs="Times New Roman"/>
                      <w:sz w:val="20"/>
                      <w:szCs w:val="20"/>
                    </w:rPr>
                  </w:pPr>
                </w:p>
              </w:tc>
            </w:tr>
          </w:tbl>
          <w:p w14:paraId="2F8B8C55" w14:textId="77777777" w:rsidR="00A74298" w:rsidRDefault="00A74298">
            <w:pPr>
              <w:jc w:val="center"/>
              <w:rPr>
                <w:rFonts w:ascii="Times New Roman" w:eastAsia="Times New Roman" w:hAnsi="Times New Roman" w:cs="Times New Roman"/>
                <w:sz w:val="20"/>
                <w:szCs w:val="20"/>
              </w:rPr>
            </w:pPr>
          </w:p>
        </w:tc>
      </w:tr>
    </w:tbl>
    <w:p w14:paraId="0E5A11E2" w14:textId="7FEB3832" w:rsidR="00A74298" w:rsidRDefault="00A74298" w:rsidP="00A74298">
      <w:pPr>
        <w:rPr>
          <w:rFonts w:eastAsia="Times New Roman"/>
        </w:rPr>
      </w:pPr>
      <w:r>
        <w:rPr>
          <w:rFonts w:eastAsia="Times New Roman"/>
          <w:noProof/>
        </w:rPr>
        <w:drawing>
          <wp:inline distT="0" distB="0" distL="0" distR="0" wp14:anchorId="4BFCA8C3" wp14:editId="4FC97DC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6ABCF1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98"/>
    <w:rsid w:val="00A7429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8F94"/>
  <w15:chartTrackingRefBased/>
  <w15:docId w15:val="{EC23F383-EC7B-40B5-81B6-814606DD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98"/>
    <w:rPr>
      <w:rFonts w:ascii="Calibri" w:hAnsi="Calibri" w:cs="Calibri"/>
      <w:lang w:eastAsia="en-GB"/>
    </w:rPr>
  </w:style>
  <w:style w:type="paragraph" w:styleId="Heading1">
    <w:name w:val="heading 1"/>
    <w:basedOn w:val="Normal"/>
    <w:link w:val="Heading1Char"/>
    <w:uiPriority w:val="9"/>
    <w:qFormat/>
    <w:rsid w:val="00A7429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7429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A7429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A7429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29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7429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A7429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A74298"/>
    <w:rPr>
      <w:rFonts w:ascii="Tahoma" w:hAnsi="Tahoma" w:cs="Tahoma"/>
      <w:b/>
      <w:bCs/>
      <w:color w:val="FFFFFF"/>
      <w:sz w:val="18"/>
      <w:szCs w:val="18"/>
      <w:lang w:eastAsia="en-GB"/>
    </w:rPr>
  </w:style>
  <w:style w:type="paragraph" w:styleId="NormalWeb">
    <w:name w:val="Normal (Web)"/>
    <w:basedOn w:val="Normal"/>
    <w:uiPriority w:val="99"/>
    <w:semiHidden/>
    <w:unhideWhenUsed/>
    <w:rsid w:val="00A74298"/>
    <w:pPr>
      <w:spacing w:before="100" w:beforeAutospacing="1" w:after="100" w:afterAutospacing="1"/>
    </w:pPr>
  </w:style>
  <w:style w:type="character" w:styleId="Strong">
    <w:name w:val="Strong"/>
    <w:basedOn w:val="DefaultParagraphFont"/>
    <w:uiPriority w:val="22"/>
    <w:qFormat/>
    <w:rsid w:val="00A74298"/>
    <w:rPr>
      <w:b/>
      <w:bCs/>
    </w:rPr>
  </w:style>
  <w:style w:type="character" w:styleId="Hyperlink">
    <w:name w:val="Hyperlink"/>
    <w:basedOn w:val="DefaultParagraphFont"/>
    <w:uiPriority w:val="99"/>
    <w:semiHidden/>
    <w:unhideWhenUsed/>
    <w:rsid w:val="00A74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0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e98369ee79&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e9cdc4e508&amp;e=d19e9fd41c" TargetMode="External"/><Relationship Id="rId26" Type="http://schemas.openxmlformats.org/officeDocument/2006/relationships/image" Target="https://psnc.us7.list-manage.com/track/open.php?u=86d41ab7fa4c7c2c5d7210782&amp;id=539fb3da2c&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8465f126c3&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114b4f545&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5329eec39&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293e857dba&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76de7b1f08&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a78a4ccf8c&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2022-08-24T07:01:00Z</dcterms:created>
  <dcterms:modified xsi:type="dcterms:W3CDTF">2022-08-24T07:08:00Z</dcterms:modified>
</cp:coreProperties>
</file>