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52A5E" w14:paraId="3338E965" w14:textId="77777777" w:rsidTr="00852A5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52A5E" w14:paraId="42E7DCA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52A5E" w14:paraId="7120F941" w14:textId="77777777">
                    <w:trPr>
                      <w:tblCellSpacing w:w="0" w:type="dxa"/>
                      <w:jc w:val="center"/>
                    </w:trPr>
                    <w:tc>
                      <w:tcPr>
                        <w:tcW w:w="3000" w:type="dxa"/>
                        <w:hideMark/>
                      </w:tcPr>
                      <w:p w14:paraId="6CFAEB47" w14:textId="24A509A4" w:rsidR="00852A5E" w:rsidRDefault="00852A5E">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9072A20" w14:textId="77777777" w:rsidR="00852A5E" w:rsidRDefault="00852A5E">
                  <w:pPr>
                    <w:jc w:val="center"/>
                    <w:rPr>
                      <w:rFonts w:ascii="Times New Roman" w:eastAsia="Times New Roman" w:hAnsi="Times New Roman" w:cs="Times New Roman"/>
                      <w:sz w:val="20"/>
                      <w:szCs w:val="20"/>
                    </w:rPr>
                  </w:pPr>
                </w:p>
              </w:tc>
            </w:tr>
            <w:tr w:rsidR="00852A5E" w14:paraId="7905805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52A5E" w14:paraId="51B19BB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0F9940E" w14:textId="66314AE7" w:rsidR="00852A5E" w:rsidRDefault="00852A5E">
                        <w:pPr>
                          <w:jc w:val="center"/>
                          <w:rPr>
                            <w:rFonts w:eastAsia="Times New Roman"/>
                          </w:rPr>
                        </w:pPr>
                        <w:r>
                          <w:rPr>
                            <w:rFonts w:eastAsia="Times New Roman"/>
                            <w:noProof/>
                          </w:rPr>
                          <w:drawing>
                            <wp:inline distT="0" distB="0" distL="0" distR="0" wp14:anchorId="2418F14E" wp14:editId="4979F17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52A5E" w14:paraId="79B03C9F" w14:textId="77777777">
                    <w:trPr>
                      <w:tblCellSpacing w:w="0" w:type="dxa"/>
                    </w:trPr>
                    <w:tc>
                      <w:tcPr>
                        <w:tcW w:w="0" w:type="auto"/>
                        <w:vMerge/>
                        <w:tcBorders>
                          <w:top w:val="nil"/>
                          <w:left w:val="nil"/>
                          <w:bottom w:val="single" w:sz="2" w:space="0" w:color="FFFFFF"/>
                          <w:right w:val="nil"/>
                        </w:tcBorders>
                        <w:vAlign w:val="center"/>
                        <w:hideMark/>
                      </w:tcPr>
                      <w:p w14:paraId="25B002B7" w14:textId="77777777" w:rsidR="00852A5E" w:rsidRDefault="00852A5E">
                        <w:pPr>
                          <w:rPr>
                            <w:rFonts w:eastAsia="Times New Roman"/>
                          </w:rPr>
                        </w:pPr>
                      </w:p>
                    </w:tc>
                    <w:tc>
                      <w:tcPr>
                        <w:tcW w:w="3450" w:type="dxa"/>
                        <w:tcBorders>
                          <w:top w:val="nil"/>
                          <w:left w:val="nil"/>
                          <w:bottom w:val="nil"/>
                          <w:right w:val="nil"/>
                        </w:tcBorders>
                        <w:vAlign w:val="center"/>
                        <w:hideMark/>
                      </w:tcPr>
                      <w:p w14:paraId="6C64FFA5" w14:textId="77777777" w:rsidR="00852A5E" w:rsidRDefault="00852A5E">
                        <w:pPr>
                          <w:pStyle w:val="Heading1"/>
                          <w:rPr>
                            <w:rFonts w:eastAsia="Times New Roman"/>
                          </w:rPr>
                        </w:pPr>
                        <w:r>
                          <w:rPr>
                            <w:rFonts w:eastAsia="Times New Roman"/>
                          </w:rPr>
                          <w:t>PSNC Newsletter</w:t>
                        </w:r>
                      </w:p>
                    </w:tc>
                  </w:tr>
                  <w:tr w:rsidR="00852A5E" w14:paraId="57CC4728" w14:textId="77777777">
                    <w:trPr>
                      <w:tblCellSpacing w:w="0" w:type="dxa"/>
                    </w:trPr>
                    <w:tc>
                      <w:tcPr>
                        <w:tcW w:w="0" w:type="auto"/>
                        <w:vMerge/>
                        <w:tcBorders>
                          <w:top w:val="nil"/>
                          <w:left w:val="nil"/>
                          <w:bottom w:val="single" w:sz="2" w:space="0" w:color="FFFFFF"/>
                          <w:right w:val="nil"/>
                        </w:tcBorders>
                        <w:vAlign w:val="center"/>
                        <w:hideMark/>
                      </w:tcPr>
                      <w:p w14:paraId="79129E50" w14:textId="77777777" w:rsidR="00852A5E" w:rsidRDefault="00852A5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A505B52" w14:textId="77777777" w:rsidR="00852A5E" w:rsidRDefault="00852A5E">
                        <w:pPr>
                          <w:pStyle w:val="Heading2"/>
                          <w:rPr>
                            <w:rFonts w:eastAsia="Times New Roman"/>
                            <w:color w:val="93378A"/>
                          </w:rPr>
                        </w:pPr>
                        <w:r>
                          <w:rPr>
                            <w:rFonts w:eastAsia="Times New Roman"/>
                            <w:color w:val="93378A"/>
                          </w:rPr>
                          <w:t>Friday 24th June 2022</w:t>
                        </w:r>
                      </w:p>
                    </w:tc>
                  </w:tr>
                </w:tbl>
                <w:p w14:paraId="52D2B8B9" w14:textId="77777777" w:rsidR="00852A5E" w:rsidRDefault="00852A5E">
                  <w:pPr>
                    <w:rPr>
                      <w:rFonts w:ascii="Times New Roman" w:eastAsia="Times New Roman" w:hAnsi="Times New Roman" w:cs="Times New Roman"/>
                      <w:sz w:val="20"/>
                      <w:szCs w:val="20"/>
                    </w:rPr>
                  </w:pPr>
                </w:p>
              </w:tc>
            </w:tr>
            <w:tr w:rsidR="00852A5E" w14:paraId="4B2EEE65" w14:textId="77777777">
              <w:tblPrEx>
                <w:shd w:val="clear" w:color="auto" w:fill="auto"/>
              </w:tblPrEx>
              <w:trPr>
                <w:tblCellSpacing w:w="0" w:type="dxa"/>
                <w:jc w:val="center"/>
              </w:trPr>
              <w:tc>
                <w:tcPr>
                  <w:tcW w:w="9000" w:type="dxa"/>
                  <w:hideMark/>
                </w:tcPr>
                <w:p w14:paraId="6318D84D" w14:textId="494226C0" w:rsidR="00852A5E" w:rsidRDefault="00852A5E">
                  <w:pPr>
                    <w:rPr>
                      <w:rFonts w:eastAsia="Times New Roman"/>
                    </w:rPr>
                  </w:pPr>
                  <w:r>
                    <w:rPr>
                      <w:rFonts w:eastAsia="Times New Roman"/>
                      <w:noProof/>
                    </w:rPr>
                    <w:drawing>
                      <wp:inline distT="0" distB="0" distL="0" distR="0" wp14:anchorId="6BEE075D" wp14:editId="3A2219B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52A5E" w14:paraId="72BD674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852A5E" w14:paraId="29D71706" w14:textId="77777777">
                    <w:trPr>
                      <w:trHeight w:val="150"/>
                      <w:tblCellSpacing w:w="15" w:type="dxa"/>
                      <w:jc w:val="center"/>
                    </w:trPr>
                    <w:tc>
                      <w:tcPr>
                        <w:tcW w:w="150" w:type="dxa"/>
                        <w:vAlign w:val="center"/>
                        <w:hideMark/>
                      </w:tcPr>
                      <w:p w14:paraId="627C6C29" w14:textId="77777777" w:rsidR="00852A5E" w:rsidRDefault="00852A5E">
                        <w:pPr>
                          <w:rPr>
                            <w:rFonts w:eastAsia="Times New Roman"/>
                          </w:rPr>
                        </w:pPr>
                      </w:p>
                    </w:tc>
                    <w:tc>
                      <w:tcPr>
                        <w:tcW w:w="8700" w:type="dxa"/>
                        <w:vAlign w:val="center"/>
                        <w:hideMark/>
                      </w:tcPr>
                      <w:p w14:paraId="5A4E4812" w14:textId="77777777" w:rsidR="00852A5E" w:rsidRDefault="00852A5E">
                        <w:pPr>
                          <w:rPr>
                            <w:rFonts w:ascii="Times New Roman" w:eastAsia="Times New Roman" w:hAnsi="Times New Roman" w:cs="Times New Roman"/>
                            <w:sz w:val="20"/>
                            <w:szCs w:val="20"/>
                          </w:rPr>
                        </w:pPr>
                      </w:p>
                    </w:tc>
                    <w:tc>
                      <w:tcPr>
                        <w:tcW w:w="150" w:type="dxa"/>
                        <w:vAlign w:val="center"/>
                        <w:hideMark/>
                      </w:tcPr>
                      <w:p w14:paraId="082FB8F4" w14:textId="77777777" w:rsidR="00852A5E" w:rsidRDefault="00852A5E">
                        <w:pPr>
                          <w:rPr>
                            <w:rFonts w:ascii="Times New Roman" w:eastAsia="Times New Roman" w:hAnsi="Times New Roman" w:cs="Times New Roman"/>
                            <w:sz w:val="20"/>
                            <w:szCs w:val="20"/>
                          </w:rPr>
                        </w:pPr>
                      </w:p>
                    </w:tc>
                  </w:tr>
                  <w:tr w:rsidR="00852A5E" w14:paraId="7C2D1AF5" w14:textId="77777777">
                    <w:trPr>
                      <w:tblCellSpacing w:w="15" w:type="dxa"/>
                      <w:jc w:val="center"/>
                    </w:trPr>
                    <w:tc>
                      <w:tcPr>
                        <w:tcW w:w="150" w:type="dxa"/>
                        <w:vAlign w:val="center"/>
                        <w:hideMark/>
                      </w:tcPr>
                      <w:p w14:paraId="3B9B055D" w14:textId="77777777" w:rsidR="00852A5E" w:rsidRDefault="00852A5E">
                        <w:pPr>
                          <w:rPr>
                            <w:rFonts w:ascii="Times New Roman" w:eastAsia="Times New Roman" w:hAnsi="Times New Roman" w:cs="Times New Roman"/>
                            <w:sz w:val="20"/>
                            <w:szCs w:val="20"/>
                          </w:rPr>
                        </w:pPr>
                      </w:p>
                    </w:tc>
                    <w:tc>
                      <w:tcPr>
                        <w:tcW w:w="8700" w:type="dxa"/>
                        <w:vAlign w:val="center"/>
                        <w:hideMark/>
                      </w:tcPr>
                      <w:p w14:paraId="4529A5DD" w14:textId="77777777" w:rsidR="00852A5E" w:rsidRDefault="00852A5E">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9CCEA65" w14:textId="77777777" w:rsidR="00852A5E" w:rsidRDefault="00852A5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59D664F">
                            <v:rect id="_x0000_i1032" style="width:468pt;height:1.5pt" o:hralign="center" o:hrstd="t" o:hr="t" fillcolor="#a0a0a0" stroked="f"/>
                          </w:pict>
                        </w:r>
                      </w:p>
                      <w:p w14:paraId="75492018" w14:textId="77777777" w:rsidR="00852A5E" w:rsidRDefault="00852A5E">
                        <w:pPr>
                          <w:pStyle w:val="Heading2"/>
                          <w:rPr>
                            <w:rFonts w:eastAsia="Times New Roman"/>
                          </w:rPr>
                        </w:pPr>
                        <w:r>
                          <w:rPr>
                            <w:rFonts w:eastAsia="Times New Roman"/>
                          </w:rPr>
                          <w:t xml:space="preserve">In this update: Launch of NHS Profile Manager; </w:t>
                        </w:r>
                        <w:proofErr w:type="gramStart"/>
                        <w:r>
                          <w:rPr>
                            <w:rFonts w:eastAsia="Times New Roman"/>
                          </w:rPr>
                          <w:t>referred back</w:t>
                        </w:r>
                        <w:proofErr w:type="gramEnd"/>
                        <w:r>
                          <w:rPr>
                            <w:rFonts w:eastAsia="Times New Roman"/>
                          </w:rPr>
                          <w:t xml:space="preserve"> and disallowed items going fully digital from July; handling EPS technical issues; </w:t>
                        </w:r>
                        <w:proofErr w:type="spellStart"/>
                        <w:r>
                          <w:rPr>
                            <w:rFonts w:eastAsia="Times New Roman"/>
                          </w:rPr>
                          <w:t>GPhC</w:t>
                        </w:r>
                        <w:proofErr w:type="spellEnd"/>
                        <w:r>
                          <w:rPr>
                            <w:rFonts w:eastAsia="Times New Roman"/>
                          </w:rPr>
                          <w:t xml:space="preserve"> duty of candour resources; CPPE Genomics learning gateway.</w:t>
                        </w:r>
                      </w:p>
                      <w:p w14:paraId="11613F25" w14:textId="77777777" w:rsidR="00852A5E" w:rsidRDefault="00852A5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26AB15A">
                            <v:rect id="_x0000_i1033" style="width:468pt;height:1.5pt" o:hralign="center" o:hrstd="t" o:hr="t" fillcolor="#a0a0a0" stroked="f"/>
                          </w:pict>
                        </w:r>
                      </w:p>
                      <w:p w14:paraId="5AC01CD2" w14:textId="77777777" w:rsidR="00852A5E" w:rsidRDefault="00852A5E" w:rsidP="00852A5E">
                        <w:pPr>
                          <w:pStyle w:val="Heading2"/>
                          <w:spacing w:after="0"/>
                          <w:rPr>
                            <w:rFonts w:eastAsia="Times New Roman"/>
                          </w:rPr>
                        </w:pPr>
                        <w:r>
                          <w:rPr>
                            <w:rFonts w:eastAsia="Times New Roman"/>
                          </w:rPr>
                          <w:t>NHS Profile Manager tool launches</w:t>
                        </w:r>
                      </w:p>
                      <w:p w14:paraId="171E8ED7" w14:textId="2E4A55C7" w:rsidR="00852A5E" w:rsidRDefault="00852A5E" w:rsidP="00852A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 new tool, NHS Profile Manager, has launched to help community pharmacy contractors to update their pharmacy’s details more easily in the NHS 111 Directory of Services (DoS) and on the NHS website. </w:t>
                        </w:r>
                      </w:p>
                      <w:p w14:paraId="74C987E2" w14:textId="77777777" w:rsidR="00852A5E" w:rsidRDefault="00852A5E" w:rsidP="00852A5E">
                        <w:pPr>
                          <w:spacing w:line="264" w:lineRule="auto"/>
                          <w:rPr>
                            <w:rFonts w:ascii="Tahoma" w:eastAsia="Times New Roman" w:hAnsi="Tahoma" w:cs="Tahoma"/>
                            <w:color w:val="303030"/>
                            <w:sz w:val="21"/>
                            <w:szCs w:val="21"/>
                          </w:rPr>
                        </w:pPr>
                      </w:p>
                      <w:p w14:paraId="0A5A8CD3" w14:textId="726EEC13" w:rsidR="00852A5E" w:rsidRDefault="00852A5E" w:rsidP="00852A5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Previously, contractors needed to use two different NHS systems to ensure these details were </w:t>
                        </w:r>
                        <w:proofErr w:type="gramStart"/>
                        <w:r>
                          <w:rPr>
                            <w:rFonts w:ascii="Tahoma" w:hAnsi="Tahoma" w:cs="Tahoma"/>
                            <w:color w:val="303030"/>
                            <w:sz w:val="21"/>
                            <w:szCs w:val="21"/>
                          </w:rPr>
                          <w:t>up-to-date</w:t>
                        </w:r>
                        <w:proofErr w:type="gramEnd"/>
                        <w:r>
                          <w:rPr>
                            <w:rFonts w:ascii="Tahoma" w:hAnsi="Tahoma" w:cs="Tahoma"/>
                            <w:color w:val="303030"/>
                            <w:sz w:val="21"/>
                            <w:szCs w:val="21"/>
                          </w:rPr>
                          <w:t xml:space="preserve">: the NHS website profile editor and the DoS Profile Updater. However, </w:t>
                        </w:r>
                        <w:proofErr w:type="gramStart"/>
                        <w:r>
                          <w:rPr>
                            <w:rFonts w:ascii="Tahoma" w:hAnsi="Tahoma" w:cs="Tahoma"/>
                            <w:color w:val="303030"/>
                            <w:sz w:val="21"/>
                            <w:szCs w:val="21"/>
                          </w:rPr>
                          <w:t>both of these</w:t>
                        </w:r>
                        <w:proofErr w:type="gramEnd"/>
                        <w:r>
                          <w:rPr>
                            <w:rFonts w:ascii="Tahoma" w:hAnsi="Tahoma" w:cs="Tahoma"/>
                            <w:color w:val="303030"/>
                            <w:sz w:val="21"/>
                            <w:szCs w:val="21"/>
                          </w:rPr>
                          <w:t xml:space="preserve"> systems have now been replaced by the new NHS Profile Manager.</w:t>
                        </w:r>
                      </w:p>
                      <w:p w14:paraId="2463823A" w14:textId="77777777" w:rsidR="00852A5E" w:rsidRDefault="00852A5E" w:rsidP="00852A5E">
                        <w:pPr>
                          <w:pStyle w:val="NormalWeb"/>
                          <w:spacing w:before="0" w:beforeAutospacing="0" w:after="0" w:afterAutospacing="0" w:line="264" w:lineRule="auto"/>
                          <w:rPr>
                            <w:rFonts w:ascii="Tahoma" w:hAnsi="Tahoma" w:cs="Tahoma"/>
                            <w:color w:val="303030"/>
                            <w:sz w:val="21"/>
                            <w:szCs w:val="21"/>
                          </w:rPr>
                        </w:pPr>
                      </w:p>
                      <w:p w14:paraId="4ED92F67" w14:textId="77777777" w:rsidR="00852A5E" w:rsidRDefault="00852A5E" w:rsidP="00852A5E">
                        <w:pPr>
                          <w:spacing w:line="264" w:lineRule="auto"/>
                          <w:rPr>
                            <w:rFonts w:ascii="Tahoma" w:eastAsia="Times New Roman" w:hAnsi="Tahoma" w:cs="Tahoma"/>
                            <w:color w:val="303030"/>
                            <w:sz w:val="21"/>
                            <w:szCs w:val="21"/>
                          </w:rPr>
                        </w:pP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7CFC5775" w14:textId="77777777" w:rsidR="00852A5E" w:rsidRDefault="00852A5E" w:rsidP="00852A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2229C90">
                            <v:rect id="_x0000_i1034" style="width:468pt;height:1.5pt" o:hrstd="t" o:hr="t" fillcolor="#a0a0a0" stroked="f"/>
                          </w:pict>
                        </w:r>
                      </w:p>
                      <w:p w14:paraId="77B429EC" w14:textId="77777777" w:rsidR="00852A5E" w:rsidRDefault="00852A5E" w:rsidP="00852A5E">
                        <w:pPr>
                          <w:pStyle w:val="Heading2"/>
                          <w:spacing w:after="0"/>
                          <w:rPr>
                            <w:rFonts w:eastAsia="Times New Roman"/>
                          </w:rPr>
                        </w:pPr>
                        <w:proofErr w:type="gramStart"/>
                        <w:r>
                          <w:rPr>
                            <w:rFonts w:eastAsia="Times New Roman"/>
                          </w:rPr>
                          <w:t>Referred back</w:t>
                        </w:r>
                        <w:proofErr w:type="gramEnd"/>
                        <w:r>
                          <w:rPr>
                            <w:rFonts w:eastAsia="Times New Roman"/>
                          </w:rPr>
                          <w:t xml:space="preserve"> and disallowed items going fully digital from next month</w:t>
                        </w:r>
                      </w:p>
                      <w:p w14:paraId="55B93DD7" w14:textId="77777777" w:rsidR="00852A5E" w:rsidRDefault="00852A5E" w:rsidP="00852A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Pharmacy contractors are reminded that, from</w:t>
                        </w:r>
                        <w:r>
                          <w:rPr>
                            <w:rStyle w:val="Strong"/>
                            <w:rFonts w:ascii="Tahoma" w:eastAsia="Times New Roman" w:hAnsi="Tahoma" w:cs="Tahoma"/>
                            <w:color w:val="303030"/>
                            <w:sz w:val="21"/>
                            <w:szCs w:val="21"/>
                          </w:rPr>
                          <w:t> July 2022</w:t>
                        </w:r>
                        <w:r>
                          <w:rPr>
                            <w:rFonts w:ascii="Tahoma" w:eastAsia="Times New Roman" w:hAnsi="Tahoma" w:cs="Tahoma"/>
                            <w:color w:val="303030"/>
                            <w:sz w:val="21"/>
                            <w:szCs w:val="21"/>
                          </w:rPr>
                          <w:t xml:space="preserve"> (for the dispensing month of June 2022), all new prescription </w:t>
                        </w:r>
                        <w:proofErr w:type="gramStart"/>
                        <w:r>
                          <w:rPr>
                            <w:rFonts w:ascii="Tahoma" w:eastAsia="Times New Roman" w:hAnsi="Tahoma" w:cs="Tahoma"/>
                            <w:color w:val="303030"/>
                            <w:sz w:val="21"/>
                            <w:szCs w:val="21"/>
                          </w:rPr>
                          <w:t>returns/referred back</w:t>
                        </w:r>
                        <w:proofErr w:type="gramEnd"/>
                        <w:r>
                          <w:rPr>
                            <w:rFonts w:ascii="Tahoma" w:eastAsia="Times New Roman" w:hAnsi="Tahoma" w:cs="Tahoma"/>
                            <w:color w:val="303030"/>
                            <w:sz w:val="21"/>
                            <w:szCs w:val="21"/>
                          </w:rPr>
                          <w:t xml:space="preserve"> items and disallowed items will be received through the Manage Your Services (MYS) portal. Going forwards, MYS will be the only route available to view and submit required information for these items. </w:t>
                        </w:r>
                      </w:p>
                      <w:p w14:paraId="25F13180" w14:textId="77777777" w:rsidR="00852A5E" w:rsidRDefault="00852A5E" w:rsidP="00852A5E">
                        <w:pPr>
                          <w:pStyle w:val="NormalWeb"/>
                          <w:spacing w:before="0" w:beforeAutospacing="0" w:after="0" w:afterAutospacing="0" w:line="264" w:lineRule="auto"/>
                          <w:rPr>
                            <w:rFonts w:ascii="Tahoma" w:hAnsi="Tahoma" w:cs="Tahoma"/>
                            <w:color w:val="303030"/>
                            <w:sz w:val="21"/>
                            <w:szCs w:val="21"/>
                          </w:rPr>
                        </w:pPr>
                      </w:p>
                      <w:p w14:paraId="3E864BBB" w14:textId="18879F26" w:rsidR="00852A5E" w:rsidRDefault="00852A5E" w:rsidP="00852A5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It is important to note that prescription </w:t>
                        </w:r>
                        <w:proofErr w:type="gramStart"/>
                        <w:r>
                          <w:rPr>
                            <w:rFonts w:ascii="Tahoma" w:hAnsi="Tahoma" w:cs="Tahoma"/>
                            <w:color w:val="303030"/>
                            <w:sz w:val="21"/>
                            <w:szCs w:val="21"/>
                          </w:rPr>
                          <w:t>returns/referred back</w:t>
                        </w:r>
                        <w:proofErr w:type="gramEnd"/>
                        <w:r>
                          <w:rPr>
                            <w:rFonts w:ascii="Tahoma" w:hAnsi="Tahoma" w:cs="Tahoma"/>
                            <w:color w:val="303030"/>
                            <w:sz w:val="21"/>
                            <w:szCs w:val="21"/>
                          </w:rPr>
                          <w:t xml:space="preserve"> items via MYS will only be held in the system for a period of </w:t>
                        </w:r>
                        <w:r>
                          <w:rPr>
                            <w:rStyle w:val="Strong"/>
                            <w:rFonts w:ascii="Tahoma" w:hAnsi="Tahoma" w:cs="Tahoma"/>
                            <w:color w:val="303030"/>
                            <w:sz w:val="21"/>
                            <w:szCs w:val="21"/>
                          </w:rPr>
                          <w:t>18 months</w:t>
                        </w:r>
                        <w:r>
                          <w:rPr>
                            <w:rFonts w:ascii="Tahoma" w:hAnsi="Tahoma" w:cs="Tahoma"/>
                            <w:color w:val="303030"/>
                            <w:sz w:val="21"/>
                            <w:szCs w:val="21"/>
                          </w:rPr>
                          <w:t> from the date they are first sent to the pharmacy for action. If contractors have not completed and returned any outstanding referred back items before this deadline, these items will be deleted from the system.</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w:t>
                          </w:r>
                        </w:hyperlink>
                      </w:p>
                      <w:p w14:paraId="41140A9E" w14:textId="77777777" w:rsidR="00852A5E" w:rsidRDefault="00852A5E" w:rsidP="00852A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4DD3C78">
                            <v:rect id="_x0000_i1035" style="width:468pt;height:1.5pt" o:hrstd="t" o:hr="t" fillcolor="#a0a0a0" stroked="f"/>
                          </w:pict>
                        </w:r>
                      </w:p>
                      <w:p w14:paraId="38E82664" w14:textId="77777777" w:rsidR="00852A5E" w:rsidRDefault="00852A5E" w:rsidP="00852A5E">
                        <w:pPr>
                          <w:pStyle w:val="Heading2"/>
                          <w:spacing w:after="0"/>
                          <w:rPr>
                            <w:rFonts w:eastAsia="Times New Roman"/>
                          </w:rPr>
                        </w:pPr>
                        <w:r>
                          <w:rPr>
                            <w:rFonts w:eastAsia="Times New Roman"/>
                          </w:rPr>
                          <w:t>Guidance on handling EPS technical issues</w:t>
                        </w:r>
                      </w:p>
                      <w:p w14:paraId="3D159FBF" w14:textId="77777777" w:rsidR="00852A5E" w:rsidRDefault="00852A5E" w:rsidP="00852A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are reminded that PSNC has produced a suite of guidance for contractors about what to do if they experience a technical problem with an EPS prescription in the Digital and Technology section of our new website. </w:t>
                        </w:r>
                      </w:p>
                      <w:p w14:paraId="1C7735F6" w14:textId="77777777" w:rsidR="00852A5E" w:rsidRDefault="00852A5E" w:rsidP="00852A5E">
                        <w:pPr>
                          <w:pStyle w:val="NormalWeb"/>
                          <w:spacing w:before="0" w:beforeAutospacing="0" w:after="0" w:afterAutospacing="0" w:line="264" w:lineRule="auto"/>
                          <w:rPr>
                            <w:rFonts w:ascii="Tahoma" w:hAnsi="Tahoma" w:cs="Tahoma"/>
                            <w:color w:val="303030"/>
                            <w:sz w:val="21"/>
                            <w:szCs w:val="21"/>
                          </w:rPr>
                        </w:pPr>
                      </w:p>
                      <w:p w14:paraId="019E3EED" w14:textId="3104B3EC" w:rsidR="00852A5E" w:rsidRDefault="00852A5E" w:rsidP="00852A5E">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PSNC's guidance</w:t>
                          </w:r>
                        </w:hyperlink>
                      </w:p>
                      <w:p w14:paraId="2EE0CA16" w14:textId="77777777" w:rsidR="00852A5E" w:rsidRDefault="00852A5E" w:rsidP="00852A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665A0AF">
                            <v:rect id="_x0000_i1036" style="width:468pt;height:1.5pt" o:hrstd="t" o:hr="t" fillcolor="#a0a0a0" stroked="f"/>
                          </w:pict>
                        </w:r>
                      </w:p>
                      <w:p w14:paraId="00B58C7B" w14:textId="77777777" w:rsidR="00852A5E" w:rsidRDefault="00852A5E" w:rsidP="00852A5E">
                        <w:pPr>
                          <w:pStyle w:val="Heading2"/>
                          <w:spacing w:after="0"/>
                          <w:rPr>
                            <w:rFonts w:eastAsia="Times New Roman"/>
                          </w:rPr>
                        </w:pPr>
                        <w:proofErr w:type="spellStart"/>
                        <w:r>
                          <w:rPr>
                            <w:rFonts w:eastAsia="Times New Roman"/>
                          </w:rPr>
                          <w:t>GPhC</w:t>
                        </w:r>
                        <w:proofErr w:type="spellEnd"/>
                        <w:r>
                          <w:rPr>
                            <w:rFonts w:eastAsia="Times New Roman"/>
                          </w:rPr>
                          <w:t xml:space="preserve"> publishes duty of candour resources</w:t>
                        </w:r>
                      </w:p>
                      <w:p w14:paraId="4FDB0B89" w14:textId="77777777" w:rsidR="00852A5E" w:rsidRDefault="00852A5E" w:rsidP="00852A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General Pharmaceutical Council (</w:t>
                        </w:r>
                        <w:proofErr w:type="spellStart"/>
                        <w:r>
                          <w:rPr>
                            <w:rFonts w:ascii="Tahoma" w:eastAsia="Times New Roman" w:hAnsi="Tahoma" w:cs="Tahoma"/>
                            <w:color w:val="303030"/>
                            <w:sz w:val="21"/>
                            <w:szCs w:val="21"/>
                          </w:rPr>
                          <w:t>GPhC</w:t>
                        </w:r>
                        <w:proofErr w:type="spellEnd"/>
                        <w:r>
                          <w:rPr>
                            <w:rFonts w:ascii="Tahoma" w:eastAsia="Times New Roman" w:hAnsi="Tahoma" w:cs="Tahoma"/>
                            <w:color w:val="303030"/>
                            <w:sz w:val="21"/>
                            <w:szCs w:val="21"/>
                          </w:rPr>
                          <w:t>) has published new resources to help pharmacists and pharmacy technicians to fulfil their professional responsibility to be open and honest with patients when something goes wrong. This is known as the duty of candour.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 xml:space="preserve">Read the </w:t>
                          </w:r>
                          <w:proofErr w:type="spellStart"/>
                          <w:r>
                            <w:rPr>
                              <w:rStyle w:val="Hyperlink"/>
                              <w:rFonts w:ascii="Tahoma" w:eastAsia="Times New Roman" w:hAnsi="Tahoma" w:cs="Tahoma"/>
                              <w:b/>
                              <w:bCs/>
                              <w:color w:val="4E3487"/>
                              <w:sz w:val="21"/>
                              <w:szCs w:val="21"/>
                            </w:rPr>
                            <w:t>GPhC</w:t>
                          </w:r>
                          <w:proofErr w:type="spellEnd"/>
                          <w:r>
                            <w:rPr>
                              <w:rStyle w:val="Hyperlink"/>
                              <w:rFonts w:ascii="Tahoma" w:eastAsia="Times New Roman" w:hAnsi="Tahoma" w:cs="Tahoma"/>
                              <w:b/>
                              <w:bCs/>
                              <w:color w:val="4E3487"/>
                              <w:sz w:val="21"/>
                              <w:szCs w:val="21"/>
                            </w:rPr>
                            <w:t xml:space="preserve"> guidance</w:t>
                          </w:r>
                        </w:hyperlink>
                        <w:r>
                          <w:rPr>
                            <w:rFonts w:ascii="Tahoma" w:eastAsia="Times New Roman" w:hAnsi="Tahoma" w:cs="Tahoma"/>
                            <w:color w:val="303030"/>
                            <w:sz w:val="21"/>
                            <w:szCs w:val="21"/>
                          </w:rPr>
                          <w:t xml:space="preserve"> </w:t>
                        </w:r>
                      </w:p>
                      <w:p w14:paraId="2156557C" w14:textId="77777777" w:rsidR="00852A5E" w:rsidRDefault="00852A5E" w:rsidP="00852A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3D2324B">
                            <v:rect id="_x0000_i1037" style="width:468pt;height:1.5pt" o:hrstd="t" o:hr="t" fillcolor="#a0a0a0" stroked="f"/>
                          </w:pict>
                        </w:r>
                      </w:p>
                      <w:p w14:paraId="081A410E" w14:textId="77777777" w:rsidR="00852A5E" w:rsidRDefault="00852A5E" w:rsidP="00852A5E">
                        <w:pPr>
                          <w:pStyle w:val="Heading2"/>
                          <w:spacing w:after="0"/>
                          <w:rPr>
                            <w:rFonts w:eastAsia="Times New Roman"/>
                          </w:rPr>
                        </w:pPr>
                        <w:r>
                          <w:rPr>
                            <w:rFonts w:eastAsia="Times New Roman"/>
                          </w:rPr>
                          <w:t>CPPE launches Genomics learning gateway</w:t>
                        </w:r>
                      </w:p>
                      <w:p w14:paraId="723E62BE" w14:textId="77777777" w:rsidR="00852A5E" w:rsidRDefault="00852A5E" w:rsidP="00852A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Centre for Pharmacy Postgraduate Education (CPPE) has launched a new Genomics learning gateway, to coincide with Health Education England’s (HEE) #GenomicsConversation week. The learning gateway provides core and foundation learning, assessments, and other resources to support pharmacy professionals to develop their knowledge of genomics and how it relates to pharmacy and healthcare.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Find out more about the new Genomics learning gateway</w:t>
                          </w:r>
                        </w:hyperlink>
                      </w:p>
                    </w:tc>
                    <w:tc>
                      <w:tcPr>
                        <w:tcW w:w="150" w:type="dxa"/>
                        <w:vAlign w:val="center"/>
                        <w:hideMark/>
                      </w:tcPr>
                      <w:p w14:paraId="5E5EF6C0" w14:textId="77777777" w:rsidR="00852A5E" w:rsidRDefault="00852A5E">
                        <w:pPr>
                          <w:rPr>
                            <w:rFonts w:ascii="Tahoma" w:eastAsia="Times New Roman" w:hAnsi="Tahoma" w:cs="Tahoma"/>
                            <w:color w:val="303030"/>
                            <w:sz w:val="21"/>
                            <w:szCs w:val="21"/>
                          </w:rPr>
                        </w:pPr>
                      </w:p>
                    </w:tc>
                  </w:tr>
                  <w:tr w:rsidR="00852A5E" w14:paraId="444DB467" w14:textId="77777777">
                    <w:trPr>
                      <w:trHeight w:val="150"/>
                      <w:tblCellSpacing w:w="15" w:type="dxa"/>
                      <w:jc w:val="center"/>
                    </w:trPr>
                    <w:tc>
                      <w:tcPr>
                        <w:tcW w:w="150" w:type="dxa"/>
                        <w:vAlign w:val="center"/>
                        <w:hideMark/>
                      </w:tcPr>
                      <w:p w14:paraId="697028D4" w14:textId="77777777" w:rsidR="00852A5E" w:rsidRDefault="00852A5E">
                        <w:pPr>
                          <w:rPr>
                            <w:rFonts w:ascii="Times New Roman" w:eastAsia="Times New Roman" w:hAnsi="Times New Roman" w:cs="Times New Roman"/>
                            <w:sz w:val="20"/>
                            <w:szCs w:val="20"/>
                          </w:rPr>
                        </w:pPr>
                      </w:p>
                    </w:tc>
                    <w:tc>
                      <w:tcPr>
                        <w:tcW w:w="8700" w:type="dxa"/>
                        <w:vAlign w:val="center"/>
                        <w:hideMark/>
                      </w:tcPr>
                      <w:p w14:paraId="0EDB48BA" w14:textId="77777777" w:rsidR="00852A5E" w:rsidRDefault="00852A5E">
                        <w:pPr>
                          <w:rPr>
                            <w:rFonts w:ascii="Times New Roman" w:eastAsia="Times New Roman" w:hAnsi="Times New Roman" w:cs="Times New Roman"/>
                            <w:sz w:val="20"/>
                            <w:szCs w:val="20"/>
                          </w:rPr>
                        </w:pPr>
                      </w:p>
                    </w:tc>
                    <w:tc>
                      <w:tcPr>
                        <w:tcW w:w="150" w:type="dxa"/>
                        <w:vAlign w:val="center"/>
                        <w:hideMark/>
                      </w:tcPr>
                      <w:p w14:paraId="0D81B6C7" w14:textId="77777777" w:rsidR="00852A5E" w:rsidRDefault="00852A5E">
                        <w:pPr>
                          <w:rPr>
                            <w:rFonts w:ascii="Times New Roman" w:eastAsia="Times New Roman" w:hAnsi="Times New Roman" w:cs="Times New Roman"/>
                            <w:sz w:val="20"/>
                            <w:szCs w:val="20"/>
                          </w:rPr>
                        </w:pPr>
                      </w:p>
                    </w:tc>
                  </w:tr>
                </w:tbl>
                <w:p w14:paraId="740EB186" w14:textId="77777777" w:rsidR="00852A5E" w:rsidRDefault="00852A5E">
                  <w:pPr>
                    <w:jc w:val="center"/>
                    <w:rPr>
                      <w:rFonts w:ascii="Times New Roman" w:eastAsia="Times New Roman" w:hAnsi="Times New Roman" w:cs="Times New Roman"/>
                      <w:sz w:val="20"/>
                      <w:szCs w:val="20"/>
                    </w:rPr>
                  </w:pPr>
                </w:p>
              </w:tc>
            </w:tr>
          </w:tbl>
          <w:p w14:paraId="672FE389" w14:textId="77777777" w:rsidR="00852A5E" w:rsidRDefault="00852A5E">
            <w:pPr>
              <w:jc w:val="center"/>
              <w:rPr>
                <w:rFonts w:ascii="Times New Roman" w:eastAsia="Times New Roman" w:hAnsi="Times New Roman" w:cs="Times New Roman"/>
                <w:sz w:val="20"/>
                <w:szCs w:val="20"/>
              </w:rPr>
            </w:pPr>
          </w:p>
        </w:tc>
      </w:tr>
      <w:tr w:rsidR="00852A5E" w14:paraId="0A845B1B" w14:textId="77777777" w:rsidTr="00852A5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52A5E" w14:paraId="2260017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52A5E" w14:paraId="1F205CB7" w14:textId="77777777">
                    <w:trPr>
                      <w:tblCellSpacing w:w="0" w:type="dxa"/>
                      <w:jc w:val="center"/>
                    </w:trPr>
                    <w:tc>
                      <w:tcPr>
                        <w:tcW w:w="3000" w:type="dxa"/>
                        <w:tcMar>
                          <w:top w:w="30" w:type="dxa"/>
                          <w:left w:w="75" w:type="dxa"/>
                          <w:bottom w:w="30" w:type="dxa"/>
                          <w:right w:w="75" w:type="dxa"/>
                        </w:tcMar>
                        <w:hideMark/>
                      </w:tcPr>
                      <w:p w14:paraId="295E8D60" w14:textId="77777777" w:rsidR="00852A5E" w:rsidRDefault="00852A5E">
                        <w:pPr>
                          <w:pStyle w:val="Heading4"/>
                          <w:jc w:val="center"/>
                          <w:rPr>
                            <w:rFonts w:eastAsia="Times New Roman"/>
                          </w:rPr>
                        </w:pPr>
                        <w:r>
                          <w:rPr>
                            <w:rFonts w:eastAsia="Times New Roman"/>
                          </w:rPr>
                          <w:lastRenderedPageBreak/>
                          <w:t>Pharmaceutical Services Negotiating Committee</w:t>
                        </w:r>
                      </w:p>
                      <w:p w14:paraId="2B6272DE" w14:textId="6F3EF8B4" w:rsidR="00852A5E" w:rsidRDefault="00852A5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1E01D1E" wp14:editId="0BDE6E6D">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DC9F8BE" wp14:editId="1EA1E4E7">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85859A0" wp14:editId="10114FD5">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0734FB4" wp14:editId="0E391245">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ADD8410" w14:textId="77777777" w:rsidR="00852A5E" w:rsidRDefault="00852A5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52A5E" w14:paraId="6795F1F2" w14:textId="77777777">
                    <w:trPr>
                      <w:trHeight w:val="450"/>
                      <w:tblCellSpacing w:w="0" w:type="dxa"/>
                      <w:jc w:val="center"/>
                    </w:trPr>
                    <w:tc>
                      <w:tcPr>
                        <w:tcW w:w="9000" w:type="dxa"/>
                        <w:tcMar>
                          <w:top w:w="150" w:type="dxa"/>
                          <w:left w:w="0" w:type="dxa"/>
                          <w:bottom w:w="0" w:type="dxa"/>
                          <w:right w:w="0" w:type="dxa"/>
                        </w:tcMar>
                        <w:vAlign w:val="center"/>
                        <w:hideMark/>
                      </w:tcPr>
                      <w:p w14:paraId="3791988C" w14:textId="102005B4" w:rsidR="00852A5E" w:rsidRDefault="00852A5E" w:rsidP="00852A5E">
                        <w:pPr>
                          <w:rPr>
                            <w:rFonts w:ascii="Arial" w:eastAsia="Times New Roman" w:hAnsi="Arial" w:cs="Arial"/>
                            <w:color w:val="FFFFFF"/>
                            <w:sz w:val="17"/>
                            <w:szCs w:val="17"/>
                          </w:rPr>
                        </w:pPr>
                      </w:p>
                    </w:tc>
                  </w:tr>
                </w:tbl>
                <w:p w14:paraId="7E6FCEDD" w14:textId="77777777" w:rsidR="00852A5E" w:rsidRDefault="00852A5E">
                  <w:pPr>
                    <w:jc w:val="center"/>
                    <w:rPr>
                      <w:rFonts w:ascii="Times New Roman" w:eastAsia="Times New Roman" w:hAnsi="Times New Roman" w:cs="Times New Roman"/>
                      <w:sz w:val="20"/>
                      <w:szCs w:val="20"/>
                    </w:rPr>
                  </w:pPr>
                </w:p>
              </w:tc>
            </w:tr>
          </w:tbl>
          <w:p w14:paraId="58247AB5" w14:textId="77777777" w:rsidR="00852A5E" w:rsidRDefault="00852A5E">
            <w:pPr>
              <w:jc w:val="center"/>
              <w:rPr>
                <w:rFonts w:ascii="Times New Roman" w:eastAsia="Times New Roman" w:hAnsi="Times New Roman" w:cs="Times New Roman"/>
                <w:sz w:val="20"/>
                <w:szCs w:val="20"/>
              </w:rPr>
            </w:pPr>
          </w:p>
        </w:tc>
      </w:tr>
    </w:tbl>
    <w:p w14:paraId="12A7DD20" w14:textId="1BEF09CE" w:rsidR="00852A5E" w:rsidRDefault="00852A5E" w:rsidP="00852A5E">
      <w:pPr>
        <w:rPr>
          <w:rFonts w:eastAsia="Times New Roman"/>
        </w:rPr>
      </w:pPr>
      <w:r>
        <w:rPr>
          <w:rFonts w:eastAsia="Times New Roman"/>
          <w:noProof/>
        </w:rPr>
        <w:drawing>
          <wp:inline distT="0" distB="0" distL="0" distR="0" wp14:anchorId="02C57A8B" wp14:editId="4559AA8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B2991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5E"/>
    <w:rsid w:val="00852A5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B39D"/>
  <w15:chartTrackingRefBased/>
  <w15:docId w15:val="{F8B2C0B7-3B20-46FC-ABC3-EC402BA5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5E"/>
    <w:rPr>
      <w:rFonts w:ascii="Calibri" w:hAnsi="Calibri" w:cs="Calibri"/>
      <w:lang w:eastAsia="en-GB"/>
    </w:rPr>
  </w:style>
  <w:style w:type="paragraph" w:styleId="Heading1">
    <w:name w:val="heading 1"/>
    <w:basedOn w:val="Normal"/>
    <w:link w:val="Heading1Char"/>
    <w:uiPriority w:val="9"/>
    <w:qFormat/>
    <w:rsid w:val="00852A5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52A5E"/>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852A5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A5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52A5E"/>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852A5E"/>
    <w:rPr>
      <w:rFonts w:ascii="Tahoma" w:hAnsi="Tahoma" w:cs="Tahoma"/>
      <w:b/>
      <w:bCs/>
      <w:color w:val="FFFFFF"/>
      <w:sz w:val="18"/>
      <w:szCs w:val="18"/>
      <w:lang w:eastAsia="en-GB"/>
    </w:rPr>
  </w:style>
  <w:style w:type="paragraph" w:styleId="NormalWeb">
    <w:name w:val="Normal (Web)"/>
    <w:basedOn w:val="Normal"/>
    <w:uiPriority w:val="99"/>
    <w:semiHidden/>
    <w:unhideWhenUsed/>
    <w:rsid w:val="00852A5E"/>
    <w:pPr>
      <w:spacing w:before="100" w:beforeAutospacing="1" w:after="100" w:afterAutospacing="1"/>
    </w:pPr>
  </w:style>
  <w:style w:type="character" w:styleId="Strong">
    <w:name w:val="Strong"/>
    <w:basedOn w:val="DefaultParagraphFont"/>
    <w:uiPriority w:val="22"/>
    <w:qFormat/>
    <w:rsid w:val="00852A5E"/>
    <w:rPr>
      <w:b/>
      <w:bCs/>
    </w:rPr>
  </w:style>
  <w:style w:type="character" w:styleId="Hyperlink">
    <w:name w:val="Hyperlink"/>
    <w:basedOn w:val="DefaultParagraphFont"/>
    <w:uiPriority w:val="99"/>
    <w:semiHidden/>
    <w:unhideWhenUsed/>
    <w:rsid w:val="00852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357f3d502a&amp;e=d19e9fd41c" TargetMode="External"/><Relationship Id="rId13" Type="http://schemas.openxmlformats.org/officeDocument/2006/relationships/hyperlink" Target="https://psnc.us7.list-manage.com/track/click?u=86d41ab7fa4c7c2c5d7210782&amp;id=ab576d4f0d&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2f6a6838a&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0eb1d69887&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b6809195ce&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8bf1cb61de&amp;e=d19e9fd41c" TargetMode="External"/><Relationship Id="rId19" Type="http://schemas.openxmlformats.org/officeDocument/2006/relationships/hyperlink" Target="https://psnc.us7.list-manage.com/track/click?u=86d41ab7fa4c7c2c5d7210782&amp;id=7cc60b4495&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a4865e8ebf&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5618dc6c6c&amp;e=d19e9fd41c" TargetMode="External"/><Relationship Id="rId27" Type="http://schemas.openxmlformats.org/officeDocument/2006/relationships/image" Target="https://psnc.us7.list-manage.com/track/open.php?u=86d41ab7fa4c7c2c5d7210782&amp;id=4cfde05edf&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2022-06-27T07:55:00Z</dcterms:created>
  <dcterms:modified xsi:type="dcterms:W3CDTF">2022-06-27T07:56:00Z</dcterms:modified>
</cp:coreProperties>
</file>