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777A2" w14:paraId="5134EEA3" w14:textId="77777777" w:rsidTr="00D777A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777A2" w14:paraId="0F840A5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777A2" w14:paraId="00E691B8" w14:textId="77777777">
                    <w:trPr>
                      <w:tblCellSpacing w:w="0" w:type="dxa"/>
                      <w:jc w:val="center"/>
                    </w:trPr>
                    <w:tc>
                      <w:tcPr>
                        <w:tcW w:w="3000" w:type="dxa"/>
                        <w:hideMark/>
                      </w:tcPr>
                      <w:p w14:paraId="40D6862F" w14:textId="77E7188A" w:rsidR="00D777A2" w:rsidRDefault="00D777A2">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870EEC0" w14:textId="77777777" w:rsidR="00D777A2" w:rsidRDefault="00D777A2">
                  <w:pPr>
                    <w:jc w:val="center"/>
                    <w:rPr>
                      <w:rFonts w:ascii="Times New Roman" w:eastAsia="Times New Roman" w:hAnsi="Times New Roman" w:cs="Times New Roman"/>
                      <w:sz w:val="20"/>
                      <w:szCs w:val="20"/>
                    </w:rPr>
                  </w:pPr>
                </w:p>
              </w:tc>
            </w:tr>
            <w:tr w:rsidR="00D777A2" w14:paraId="1FC696FE"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777A2" w14:paraId="64961F6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B9A2BFA" w14:textId="7CE25357" w:rsidR="00D777A2" w:rsidRDefault="00D777A2">
                        <w:pPr>
                          <w:jc w:val="center"/>
                          <w:rPr>
                            <w:rFonts w:eastAsia="Times New Roman"/>
                          </w:rPr>
                        </w:pPr>
                        <w:r>
                          <w:rPr>
                            <w:rFonts w:eastAsia="Times New Roman"/>
                            <w:noProof/>
                          </w:rPr>
                          <w:drawing>
                            <wp:inline distT="0" distB="0" distL="0" distR="0" wp14:anchorId="19405B0A" wp14:editId="733CC1C3">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D777A2" w14:paraId="19858337" w14:textId="77777777">
                    <w:trPr>
                      <w:tblCellSpacing w:w="0" w:type="dxa"/>
                    </w:trPr>
                    <w:tc>
                      <w:tcPr>
                        <w:tcW w:w="0" w:type="auto"/>
                        <w:vMerge/>
                        <w:tcBorders>
                          <w:top w:val="nil"/>
                          <w:left w:val="nil"/>
                          <w:bottom w:val="single" w:sz="2" w:space="0" w:color="FFFFFF"/>
                          <w:right w:val="nil"/>
                        </w:tcBorders>
                        <w:vAlign w:val="center"/>
                        <w:hideMark/>
                      </w:tcPr>
                      <w:p w14:paraId="6E3F05AF" w14:textId="77777777" w:rsidR="00D777A2" w:rsidRDefault="00D777A2">
                        <w:pPr>
                          <w:rPr>
                            <w:rFonts w:eastAsia="Times New Roman"/>
                          </w:rPr>
                        </w:pPr>
                      </w:p>
                    </w:tc>
                    <w:tc>
                      <w:tcPr>
                        <w:tcW w:w="3450" w:type="dxa"/>
                        <w:tcBorders>
                          <w:top w:val="nil"/>
                          <w:left w:val="nil"/>
                          <w:bottom w:val="nil"/>
                          <w:right w:val="nil"/>
                        </w:tcBorders>
                        <w:vAlign w:val="center"/>
                        <w:hideMark/>
                      </w:tcPr>
                      <w:p w14:paraId="02C9F9EC" w14:textId="77777777" w:rsidR="00D777A2" w:rsidRDefault="00D777A2">
                        <w:pPr>
                          <w:pStyle w:val="Heading1"/>
                          <w:rPr>
                            <w:rFonts w:eastAsia="Times New Roman"/>
                          </w:rPr>
                        </w:pPr>
                        <w:r>
                          <w:rPr>
                            <w:rFonts w:eastAsia="Times New Roman"/>
                          </w:rPr>
                          <w:t>PSNC Newsletter</w:t>
                        </w:r>
                      </w:p>
                    </w:tc>
                  </w:tr>
                  <w:tr w:rsidR="00D777A2" w14:paraId="4CAAFAD7" w14:textId="77777777">
                    <w:trPr>
                      <w:tblCellSpacing w:w="0" w:type="dxa"/>
                    </w:trPr>
                    <w:tc>
                      <w:tcPr>
                        <w:tcW w:w="0" w:type="auto"/>
                        <w:vMerge/>
                        <w:tcBorders>
                          <w:top w:val="nil"/>
                          <w:left w:val="nil"/>
                          <w:bottom w:val="single" w:sz="2" w:space="0" w:color="FFFFFF"/>
                          <w:right w:val="nil"/>
                        </w:tcBorders>
                        <w:vAlign w:val="center"/>
                        <w:hideMark/>
                      </w:tcPr>
                      <w:p w14:paraId="32079C77" w14:textId="77777777" w:rsidR="00D777A2" w:rsidRDefault="00D777A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90A56A6" w14:textId="77777777" w:rsidR="00D777A2" w:rsidRDefault="00D777A2">
                        <w:pPr>
                          <w:pStyle w:val="Heading2"/>
                          <w:rPr>
                            <w:rFonts w:eastAsia="Times New Roman"/>
                            <w:color w:val="93378A"/>
                          </w:rPr>
                        </w:pPr>
                        <w:r>
                          <w:rPr>
                            <w:rFonts w:eastAsia="Times New Roman"/>
                            <w:color w:val="93378A"/>
                          </w:rPr>
                          <w:t>Wednesday 15th June 2022</w:t>
                        </w:r>
                      </w:p>
                    </w:tc>
                  </w:tr>
                </w:tbl>
                <w:p w14:paraId="5665F075" w14:textId="77777777" w:rsidR="00D777A2" w:rsidRDefault="00D777A2">
                  <w:pPr>
                    <w:rPr>
                      <w:rFonts w:ascii="Times New Roman" w:eastAsia="Times New Roman" w:hAnsi="Times New Roman" w:cs="Times New Roman"/>
                      <w:sz w:val="20"/>
                      <w:szCs w:val="20"/>
                    </w:rPr>
                  </w:pPr>
                </w:p>
              </w:tc>
            </w:tr>
            <w:tr w:rsidR="00D777A2" w14:paraId="7F7E112F" w14:textId="77777777">
              <w:tblPrEx>
                <w:shd w:val="clear" w:color="auto" w:fill="auto"/>
              </w:tblPrEx>
              <w:trPr>
                <w:tblCellSpacing w:w="0" w:type="dxa"/>
                <w:jc w:val="center"/>
              </w:trPr>
              <w:tc>
                <w:tcPr>
                  <w:tcW w:w="9000" w:type="dxa"/>
                  <w:hideMark/>
                </w:tcPr>
                <w:p w14:paraId="209B43A0" w14:textId="638150EB" w:rsidR="00D777A2" w:rsidRDefault="00D777A2">
                  <w:pPr>
                    <w:rPr>
                      <w:rFonts w:eastAsia="Times New Roman"/>
                    </w:rPr>
                  </w:pPr>
                  <w:r>
                    <w:rPr>
                      <w:rFonts w:eastAsia="Times New Roman"/>
                      <w:noProof/>
                    </w:rPr>
                    <w:drawing>
                      <wp:inline distT="0" distB="0" distL="0" distR="0" wp14:anchorId="54F1470E" wp14:editId="56BE745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D777A2" w14:paraId="09FB9286"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D777A2" w14:paraId="706A3032" w14:textId="77777777">
                    <w:trPr>
                      <w:trHeight w:val="150"/>
                      <w:tblCellSpacing w:w="15" w:type="dxa"/>
                      <w:jc w:val="center"/>
                    </w:trPr>
                    <w:tc>
                      <w:tcPr>
                        <w:tcW w:w="150" w:type="dxa"/>
                        <w:vAlign w:val="center"/>
                        <w:hideMark/>
                      </w:tcPr>
                      <w:p w14:paraId="226643E4" w14:textId="77777777" w:rsidR="00D777A2" w:rsidRDefault="00D777A2">
                        <w:pPr>
                          <w:rPr>
                            <w:rFonts w:eastAsia="Times New Roman"/>
                          </w:rPr>
                        </w:pPr>
                      </w:p>
                    </w:tc>
                    <w:tc>
                      <w:tcPr>
                        <w:tcW w:w="8700" w:type="dxa"/>
                        <w:vAlign w:val="center"/>
                        <w:hideMark/>
                      </w:tcPr>
                      <w:p w14:paraId="48475992" w14:textId="77777777" w:rsidR="00D777A2" w:rsidRDefault="00D777A2">
                        <w:pPr>
                          <w:rPr>
                            <w:rFonts w:ascii="Times New Roman" w:eastAsia="Times New Roman" w:hAnsi="Times New Roman" w:cs="Times New Roman"/>
                            <w:sz w:val="20"/>
                            <w:szCs w:val="20"/>
                          </w:rPr>
                        </w:pPr>
                      </w:p>
                    </w:tc>
                    <w:tc>
                      <w:tcPr>
                        <w:tcW w:w="150" w:type="dxa"/>
                        <w:vAlign w:val="center"/>
                        <w:hideMark/>
                      </w:tcPr>
                      <w:p w14:paraId="74440469" w14:textId="77777777" w:rsidR="00D777A2" w:rsidRDefault="00D777A2">
                        <w:pPr>
                          <w:rPr>
                            <w:rFonts w:ascii="Times New Roman" w:eastAsia="Times New Roman" w:hAnsi="Times New Roman" w:cs="Times New Roman"/>
                            <w:sz w:val="20"/>
                            <w:szCs w:val="20"/>
                          </w:rPr>
                        </w:pPr>
                      </w:p>
                    </w:tc>
                  </w:tr>
                  <w:tr w:rsidR="00D777A2" w14:paraId="24FED765" w14:textId="77777777">
                    <w:trPr>
                      <w:tblCellSpacing w:w="15" w:type="dxa"/>
                      <w:jc w:val="center"/>
                    </w:trPr>
                    <w:tc>
                      <w:tcPr>
                        <w:tcW w:w="150" w:type="dxa"/>
                        <w:vAlign w:val="center"/>
                        <w:hideMark/>
                      </w:tcPr>
                      <w:p w14:paraId="34C7D857" w14:textId="77777777" w:rsidR="00D777A2" w:rsidRDefault="00D777A2">
                        <w:pPr>
                          <w:rPr>
                            <w:rFonts w:ascii="Times New Roman" w:eastAsia="Times New Roman" w:hAnsi="Times New Roman" w:cs="Times New Roman"/>
                            <w:sz w:val="20"/>
                            <w:szCs w:val="20"/>
                          </w:rPr>
                        </w:pPr>
                      </w:p>
                    </w:tc>
                    <w:tc>
                      <w:tcPr>
                        <w:tcW w:w="8700" w:type="dxa"/>
                        <w:vAlign w:val="center"/>
                        <w:hideMark/>
                      </w:tcPr>
                      <w:p w14:paraId="71C343EA" w14:textId="77777777" w:rsidR="00D777A2" w:rsidRDefault="00D777A2">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B115EB1" w14:textId="77777777" w:rsidR="00D777A2" w:rsidRDefault="00D777A2">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73FB54F">
                            <v:rect id="_x0000_i1032" style="width:468pt;height:1.5pt" o:hralign="center" o:hrstd="t" o:hr="t" fillcolor="#a0a0a0" stroked="f"/>
                          </w:pict>
                        </w:r>
                      </w:p>
                      <w:p w14:paraId="146AA1B7" w14:textId="77777777" w:rsidR="00D777A2" w:rsidRDefault="00D777A2" w:rsidP="00D777A2">
                        <w:pPr>
                          <w:pStyle w:val="Heading2"/>
                          <w:spacing w:after="0"/>
                          <w:rPr>
                            <w:rFonts w:eastAsia="Times New Roman"/>
                          </w:rPr>
                        </w:pPr>
                        <w:r>
                          <w:rPr>
                            <w:rFonts w:eastAsia="Times New Roman"/>
                          </w:rPr>
                          <w:t>In this update: Hypertension Case-Finding Service updates; vote now on proposals for future of PSNC and LPCs; antimicrobial stewardship activities survey; advice on staying health in the heat.</w:t>
                        </w:r>
                      </w:p>
                      <w:p w14:paraId="59CAB53B" w14:textId="77777777" w:rsidR="00D777A2" w:rsidRDefault="00D777A2">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21B6DA4">
                            <v:rect id="_x0000_i1033" style="width:468pt;height:1.5pt" o:hralign="center" o:hrstd="t" o:hr="t" fillcolor="#a0a0a0" stroked="f"/>
                          </w:pict>
                        </w:r>
                      </w:p>
                      <w:p w14:paraId="50978AC6" w14:textId="77777777" w:rsidR="00D777A2" w:rsidRDefault="00D777A2" w:rsidP="00D777A2">
                        <w:pPr>
                          <w:pStyle w:val="Heading2"/>
                          <w:spacing w:after="0"/>
                          <w:rPr>
                            <w:rFonts w:eastAsia="Times New Roman"/>
                          </w:rPr>
                        </w:pPr>
                        <w:r>
                          <w:rPr>
                            <w:rFonts w:eastAsia="Times New Roman"/>
                          </w:rPr>
                          <w:t>Over 100K pharmacy blood pressure checks provided</w:t>
                        </w:r>
                      </w:p>
                      <w:p w14:paraId="60B3AECF" w14:textId="77A54ECE" w:rsidR="00D777A2" w:rsidRDefault="00D777A2" w:rsidP="00D777A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contractors providing the NHS Hypertension Case-Finding Service have carried out over </w:t>
                        </w:r>
                        <w:r>
                          <w:rPr>
                            <w:rStyle w:val="Strong"/>
                            <w:rFonts w:ascii="Tahoma" w:eastAsia="Times New Roman" w:hAnsi="Tahoma" w:cs="Tahoma"/>
                            <w:color w:val="303030"/>
                            <w:sz w:val="21"/>
                            <w:szCs w:val="21"/>
                          </w:rPr>
                          <w:t>100,000</w:t>
                        </w:r>
                        <w:r>
                          <w:rPr>
                            <w:rFonts w:ascii="Tahoma" w:eastAsia="Times New Roman" w:hAnsi="Tahoma" w:cs="Tahoma"/>
                            <w:color w:val="303030"/>
                            <w:sz w:val="21"/>
                            <w:szCs w:val="21"/>
                          </w:rPr>
                          <w:t xml:space="preserve"> blood pressure checks since the start of the service in October 2021. </w:t>
                        </w:r>
                      </w:p>
                      <w:p w14:paraId="1BCD2B9A" w14:textId="77777777" w:rsidR="00D777A2" w:rsidRDefault="00D777A2" w:rsidP="00D777A2">
                        <w:pPr>
                          <w:spacing w:line="264" w:lineRule="auto"/>
                          <w:rPr>
                            <w:rFonts w:ascii="Tahoma" w:eastAsia="Times New Roman" w:hAnsi="Tahoma" w:cs="Tahoma"/>
                            <w:color w:val="303030"/>
                            <w:sz w:val="21"/>
                            <w:szCs w:val="21"/>
                          </w:rPr>
                        </w:pPr>
                      </w:p>
                      <w:p w14:paraId="68463614" w14:textId="77777777" w:rsidR="00D777A2" w:rsidRDefault="00D777A2" w:rsidP="00D777A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number of contractors providing the service also continues to rise, with over </w:t>
                        </w:r>
                        <w:r>
                          <w:rPr>
                            <w:rStyle w:val="Strong"/>
                            <w:rFonts w:ascii="Tahoma" w:hAnsi="Tahoma" w:cs="Tahoma"/>
                            <w:color w:val="303030"/>
                            <w:sz w:val="21"/>
                            <w:szCs w:val="21"/>
                          </w:rPr>
                          <w:t xml:space="preserve">7,200 </w:t>
                        </w:r>
                        <w:r>
                          <w:rPr>
                            <w:rFonts w:ascii="Tahoma" w:hAnsi="Tahoma" w:cs="Tahoma"/>
                            <w:color w:val="303030"/>
                            <w:sz w:val="21"/>
                            <w:szCs w:val="21"/>
                          </w:rPr>
                          <w:t>community pharmacy contractors already signed up to provide the service.</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Find out more, including PSNC resources on the service</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Daily claiming now available for the Hypertension Case-Finding Service</w:t>
                        </w:r>
                        <w:r>
                          <w:rPr>
                            <w:rFonts w:ascii="Tahoma" w:hAnsi="Tahoma" w:cs="Tahoma"/>
                            <w:color w:val="303030"/>
                            <w:sz w:val="21"/>
                            <w:szCs w:val="21"/>
                          </w:rPr>
                          <w:br/>
                        </w:r>
                        <w:r>
                          <w:rPr>
                            <w:rFonts w:ascii="Tahoma" w:hAnsi="Tahoma" w:cs="Tahoma"/>
                            <w:color w:val="303030"/>
                            <w:sz w:val="21"/>
                            <w:szCs w:val="21"/>
                          </w:rPr>
                          <w:br/>
                          <w:t>The NHS Business Services Authority has advised contractors that claims for the Hypertension Case-Finding Service can now be entered each day onto the Manage Your Service (MYS) platform.</w:t>
                        </w:r>
                        <w:r>
                          <w:rPr>
                            <w:rFonts w:ascii="Tahoma" w:hAnsi="Tahoma" w:cs="Tahoma"/>
                            <w:color w:val="303030"/>
                            <w:sz w:val="21"/>
                            <w:szCs w:val="21"/>
                          </w:rPr>
                          <w:br/>
                        </w:r>
                        <w:r>
                          <w:rPr>
                            <w:rFonts w:ascii="Tahoma" w:hAnsi="Tahoma" w:cs="Tahoma"/>
                            <w:color w:val="303030"/>
                            <w:sz w:val="21"/>
                            <w:szCs w:val="21"/>
                          </w:rPr>
                          <w:br/>
                          <w:t>The change means that contractors can submit service activity daily throughout the month. However, contractors still need to review and submit their data by the 5th of the following month.</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more</w:t>
                          </w:r>
                        </w:hyperlink>
                      </w:p>
                      <w:p w14:paraId="68959945" w14:textId="77777777" w:rsidR="00D777A2" w:rsidRDefault="00D777A2" w:rsidP="00D777A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14A1388">
                            <v:rect id="_x0000_i1034" style="width:468pt;height:1.5pt" o:hrstd="t" o:hr="t" fillcolor="#a0a0a0" stroked="f"/>
                          </w:pict>
                        </w:r>
                      </w:p>
                      <w:p w14:paraId="4E25DD82" w14:textId="77777777" w:rsidR="00D777A2" w:rsidRDefault="00D777A2" w:rsidP="00D777A2">
                        <w:pPr>
                          <w:pStyle w:val="Heading2"/>
                          <w:spacing w:after="0"/>
                          <w:rPr>
                            <w:rFonts w:eastAsia="Times New Roman"/>
                          </w:rPr>
                        </w:pPr>
                        <w:r>
                          <w:rPr>
                            <w:rFonts w:eastAsia="Times New Roman"/>
                          </w:rPr>
                          <w:t>Vote now on the proposals for the future of community pharmacy representation</w:t>
                        </w:r>
                      </w:p>
                      <w:p w14:paraId="1DAF9E38" w14:textId="77777777" w:rsidR="00D777A2" w:rsidRDefault="00D777A2" w:rsidP="00D777A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they have until </w:t>
                        </w:r>
                        <w:r>
                          <w:rPr>
                            <w:rStyle w:val="Strong"/>
                            <w:rFonts w:ascii="Tahoma" w:eastAsia="Times New Roman" w:hAnsi="Tahoma" w:cs="Tahoma"/>
                            <w:color w:val="303030"/>
                            <w:sz w:val="21"/>
                            <w:szCs w:val="21"/>
                          </w:rPr>
                          <w:t>23.59 on Friday 17th June 2022</w:t>
                        </w:r>
                        <w:r>
                          <w:rPr>
                            <w:rFonts w:ascii="Tahoma" w:eastAsia="Times New Roman" w:hAnsi="Tahoma" w:cs="Tahoma"/>
                            <w:color w:val="303030"/>
                            <w:sz w:val="21"/>
                            <w:szCs w:val="21"/>
                          </w:rPr>
                          <w:t> to vote on the Pharmacy Review Steering Group proposals for the future of PSNC and the LPCs.</w:t>
                        </w:r>
                        <w:r>
                          <w:rPr>
                            <w:rFonts w:ascii="Tahoma" w:eastAsia="Times New Roman" w:hAnsi="Tahoma" w:cs="Tahoma"/>
                            <w:color w:val="303030"/>
                            <w:sz w:val="21"/>
                            <w:szCs w:val="21"/>
                          </w:rPr>
                          <w:br/>
                        </w:r>
                        <w:r>
                          <w:rPr>
                            <w:rFonts w:ascii="Tahoma" w:eastAsia="Times New Roman" w:hAnsi="Tahoma" w:cs="Tahoma"/>
                            <w:color w:val="303030"/>
                            <w:sz w:val="21"/>
                            <w:szCs w:val="21"/>
                          </w:rPr>
                          <w:br/>
                          <w:t>To help contractors to make an informed decision when voting, the RSG has produced several resources including a two-page summary, explanatory animations, and answers to contractors' questions in various formats.</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r>
                        <w:hyperlink r:id="rId10" w:tgtFrame="_blank" w:tooltip="https://pharmacy-review.org" w:history="1">
                          <w:r>
                            <w:rPr>
                              <w:rStyle w:val="Hyperlink"/>
                              <w:rFonts w:ascii="Tahoma" w:eastAsia="Times New Roman" w:hAnsi="Tahoma" w:cs="Tahoma"/>
                              <w:b/>
                              <w:bCs/>
                              <w:color w:val="4E3487"/>
                              <w:sz w:val="21"/>
                              <w:szCs w:val="21"/>
                            </w:rPr>
                            <w:t>View all the information and resources on the RSG's website</w:t>
                          </w:r>
                        </w:hyperlink>
                        <w:r>
                          <w:rPr>
                            <w:rFonts w:ascii="Tahoma" w:eastAsia="Times New Roman" w:hAnsi="Tahoma" w:cs="Tahoma"/>
                            <w:color w:val="303030"/>
                            <w:sz w:val="21"/>
                            <w:szCs w:val="21"/>
                          </w:rPr>
                          <w:t xml:space="preserve"> </w:t>
                        </w:r>
                      </w:p>
                      <w:p w14:paraId="75558396" w14:textId="77777777" w:rsidR="00D777A2" w:rsidRDefault="00D777A2" w:rsidP="00D777A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1DC1210">
                            <v:rect id="_x0000_i1035" style="width:468pt;height:1.5pt" o:hrstd="t" o:hr="t" fillcolor="#a0a0a0" stroked="f"/>
                          </w:pict>
                        </w:r>
                      </w:p>
                      <w:p w14:paraId="6CA60900" w14:textId="77777777" w:rsidR="00D777A2" w:rsidRDefault="00D777A2" w:rsidP="00D777A2">
                        <w:pPr>
                          <w:pStyle w:val="Heading2"/>
                          <w:spacing w:after="0"/>
                          <w:rPr>
                            <w:rFonts w:eastAsia="Times New Roman"/>
                          </w:rPr>
                        </w:pPr>
                        <w:r>
                          <w:rPr>
                            <w:rFonts w:eastAsia="Times New Roman"/>
                          </w:rPr>
                          <w:t>Share your views on the antimicrobial stewardship activities</w:t>
                        </w:r>
                      </w:p>
                      <w:p w14:paraId="38B43A6A" w14:textId="77777777" w:rsidR="00D777A2" w:rsidRDefault="00D777A2" w:rsidP="00D777A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and their teams are invited to complete a short voluntary survey about the TARGET antibiotic checklist and the other antimicrobial stewardship (AMS) activities that were part of the Prevention Domain of the 2021/22 Pharmacy Quality Scheme (PQS).</w:t>
                        </w:r>
                        <w:r>
                          <w:rPr>
                            <w:rFonts w:ascii="Tahoma" w:eastAsia="Times New Roman" w:hAnsi="Tahoma" w:cs="Tahoma"/>
                            <w:color w:val="303030"/>
                            <w:sz w:val="21"/>
                            <w:szCs w:val="21"/>
                          </w:rPr>
                          <w:br/>
                        </w:r>
                        <w:r>
                          <w:rPr>
                            <w:rFonts w:ascii="Tahoma" w:eastAsia="Times New Roman" w:hAnsi="Tahoma" w:cs="Tahoma"/>
                            <w:color w:val="303030"/>
                            <w:sz w:val="21"/>
                            <w:szCs w:val="21"/>
                          </w:rPr>
                          <w:br/>
                          <w:t>The survey, which has been created by the English surveillance programme for antimicrobial utilisation and resistance (ESPAUR), is open to all community pharmacy staff. This includes those who did not meet the Prevention Domain requirements and those who did not participate in PQS, as ESPAUR would like to understand the barriers and challenges faced.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Complete the survey</w:t>
                          </w:r>
                        </w:hyperlink>
                        <w:r>
                          <w:rPr>
                            <w:rFonts w:ascii="Tahoma" w:eastAsia="Times New Roman" w:hAnsi="Tahoma" w:cs="Tahoma"/>
                            <w:color w:val="303030"/>
                            <w:sz w:val="21"/>
                            <w:szCs w:val="21"/>
                          </w:rPr>
                          <w:t xml:space="preserve"> </w:t>
                        </w:r>
                      </w:p>
                      <w:p w14:paraId="7531C042" w14:textId="77777777" w:rsidR="00D777A2" w:rsidRDefault="00D777A2" w:rsidP="00D777A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2ADB87E">
                            <v:rect id="_x0000_i1036" style="width:468pt;height:1.5pt" o:hrstd="t" o:hr="t" fillcolor="#a0a0a0" stroked="f"/>
                          </w:pict>
                        </w:r>
                      </w:p>
                      <w:p w14:paraId="10A99652" w14:textId="77777777" w:rsidR="00D777A2" w:rsidRDefault="00D777A2" w:rsidP="00D777A2">
                        <w:pPr>
                          <w:pStyle w:val="Heading2"/>
                          <w:spacing w:after="0"/>
                          <w:rPr>
                            <w:rFonts w:eastAsia="Times New Roman"/>
                          </w:rPr>
                        </w:pPr>
                        <w:r>
                          <w:rPr>
                            <w:rFonts w:eastAsia="Times New Roman"/>
                          </w:rPr>
                          <w:t>Staying healthy in the heat – advice for patients</w:t>
                        </w:r>
                      </w:p>
                      <w:p w14:paraId="54F88275" w14:textId="290E62AD" w:rsidR="00D777A2" w:rsidRDefault="00D777A2" w:rsidP="00D777A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UK Health Security Agency (UKHSA) has issued a </w:t>
                        </w:r>
                        <w:hyperlink r:id="rId12" w:tgtFrame="_blank" w:history="1">
                          <w:r>
                            <w:rPr>
                              <w:rStyle w:val="Hyperlink"/>
                              <w:rFonts w:ascii="Tahoma" w:eastAsia="Times New Roman" w:hAnsi="Tahoma" w:cs="Tahoma"/>
                              <w:b/>
                              <w:bCs/>
                              <w:color w:val="4E3487"/>
                              <w:sz w:val="21"/>
                              <w:szCs w:val="21"/>
                            </w:rPr>
                            <w:t>heat-health alert</w:t>
                          </w:r>
                        </w:hyperlink>
                        <w:r>
                          <w:rPr>
                            <w:rFonts w:ascii="Tahoma" w:eastAsia="Times New Roman" w:hAnsi="Tahoma" w:cs="Tahoma"/>
                            <w:color w:val="303030"/>
                            <w:sz w:val="21"/>
                            <w:szCs w:val="21"/>
                          </w:rPr>
                          <w:t xml:space="preserve"> for the next few days. During this heatwave, the public may turn to community pharmacy teams for advice. PSNC has previously developed materials that may be used by pharmacy teams to communicate relevant messages contained in the Heatwave Plan for England and NHS guidance on how to cope in hot weather. </w:t>
                        </w:r>
                      </w:p>
                      <w:p w14:paraId="27EC5560" w14:textId="77777777" w:rsidR="00D777A2" w:rsidRDefault="00D777A2" w:rsidP="00D777A2">
                        <w:pPr>
                          <w:spacing w:line="264" w:lineRule="auto"/>
                          <w:rPr>
                            <w:rFonts w:ascii="Tahoma" w:eastAsia="Times New Roman" w:hAnsi="Tahoma" w:cs="Tahoma"/>
                            <w:color w:val="303030"/>
                            <w:sz w:val="21"/>
                            <w:szCs w:val="21"/>
                          </w:rPr>
                        </w:pPr>
                      </w:p>
                      <w:p w14:paraId="5CB1A4F5" w14:textId="77777777" w:rsidR="00D777A2" w:rsidRDefault="00D777A2" w:rsidP="00D777A2">
                        <w:pPr>
                          <w:pStyle w:val="NormalWeb"/>
                          <w:spacing w:before="0" w:beforeAutospacing="0" w:after="0" w:afterAutospacing="0" w:line="264" w:lineRule="auto"/>
                          <w:rPr>
                            <w:rFonts w:ascii="Tahoma" w:hAnsi="Tahoma" w:cs="Tahoma"/>
                            <w:color w:val="303030"/>
                            <w:sz w:val="21"/>
                            <w:szCs w:val="21"/>
                          </w:rPr>
                        </w:pPr>
                        <w:hyperlink r:id="rId13" w:tgtFrame="_blank" w:history="1">
                          <w:r>
                            <w:rPr>
                              <w:rStyle w:val="Hyperlink"/>
                              <w:rFonts w:ascii="Tahoma" w:hAnsi="Tahoma" w:cs="Tahoma"/>
                              <w:b/>
                              <w:bCs/>
                              <w:color w:val="4E3487"/>
                              <w:sz w:val="21"/>
                              <w:szCs w:val="21"/>
                            </w:rPr>
                            <w:t>Download the resources</w:t>
                          </w:r>
                        </w:hyperlink>
                      </w:p>
                    </w:tc>
                    <w:tc>
                      <w:tcPr>
                        <w:tcW w:w="150" w:type="dxa"/>
                        <w:vAlign w:val="center"/>
                        <w:hideMark/>
                      </w:tcPr>
                      <w:p w14:paraId="26123EC5" w14:textId="77777777" w:rsidR="00D777A2" w:rsidRDefault="00D777A2">
                        <w:pPr>
                          <w:rPr>
                            <w:rFonts w:ascii="Tahoma" w:hAnsi="Tahoma" w:cs="Tahoma"/>
                            <w:color w:val="303030"/>
                            <w:sz w:val="21"/>
                            <w:szCs w:val="21"/>
                          </w:rPr>
                        </w:pPr>
                      </w:p>
                    </w:tc>
                  </w:tr>
                  <w:tr w:rsidR="00D777A2" w14:paraId="2C3D1E9A" w14:textId="77777777">
                    <w:trPr>
                      <w:trHeight w:val="150"/>
                      <w:tblCellSpacing w:w="15" w:type="dxa"/>
                      <w:jc w:val="center"/>
                    </w:trPr>
                    <w:tc>
                      <w:tcPr>
                        <w:tcW w:w="150" w:type="dxa"/>
                        <w:vAlign w:val="center"/>
                        <w:hideMark/>
                      </w:tcPr>
                      <w:p w14:paraId="5F9A10A3" w14:textId="77777777" w:rsidR="00D777A2" w:rsidRDefault="00D777A2">
                        <w:pPr>
                          <w:rPr>
                            <w:rFonts w:ascii="Times New Roman" w:eastAsia="Times New Roman" w:hAnsi="Times New Roman" w:cs="Times New Roman"/>
                            <w:sz w:val="20"/>
                            <w:szCs w:val="20"/>
                          </w:rPr>
                        </w:pPr>
                      </w:p>
                    </w:tc>
                    <w:tc>
                      <w:tcPr>
                        <w:tcW w:w="8700" w:type="dxa"/>
                        <w:vAlign w:val="center"/>
                        <w:hideMark/>
                      </w:tcPr>
                      <w:p w14:paraId="347D19FA" w14:textId="77777777" w:rsidR="00D777A2" w:rsidRDefault="00D777A2">
                        <w:pPr>
                          <w:rPr>
                            <w:rFonts w:ascii="Times New Roman" w:eastAsia="Times New Roman" w:hAnsi="Times New Roman" w:cs="Times New Roman"/>
                            <w:sz w:val="20"/>
                            <w:szCs w:val="20"/>
                          </w:rPr>
                        </w:pPr>
                      </w:p>
                    </w:tc>
                    <w:tc>
                      <w:tcPr>
                        <w:tcW w:w="150" w:type="dxa"/>
                        <w:vAlign w:val="center"/>
                        <w:hideMark/>
                      </w:tcPr>
                      <w:p w14:paraId="3E5A60B7" w14:textId="77777777" w:rsidR="00D777A2" w:rsidRDefault="00D777A2">
                        <w:pPr>
                          <w:rPr>
                            <w:rFonts w:ascii="Times New Roman" w:eastAsia="Times New Roman" w:hAnsi="Times New Roman" w:cs="Times New Roman"/>
                            <w:sz w:val="20"/>
                            <w:szCs w:val="20"/>
                          </w:rPr>
                        </w:pPr>
                      </w:p>
                    </w:tc>
                  </w:tr>
                </w:tbl>
                <w:p w14:paraId="3FCBD6C8" w14:textId="77777777" w:rsidR="00D777A2" w:rsidRDefault="00D777A2">
                  <w:pPr>
                    <w:jc w:val="center"/>
                    <w:rPr>
                      <w:rFonts w:ascii="Times New Roman" w:eastAsia="Times New Roman" w:hAnsi="Times New Roman" w:cs="Times New Roman"/>
                      <w:sz w:val="20"/>
                      <w:szCs w:val="20"/>
                    </w:rPr>
                  </w:pPr>
                </w:p>
              </w:tc>
            </w:tr>
          </w:tbl>
          <w:p w14:paraId="1330C652" w14:textId="77777777" w:rsidR="00D777A2" w:rsidRDefault="00D777A2">
            <w:pPr>
              <w:jc w:val="center"/>
              <w:rPr>
                <w:rFonts w:ascii="Times New Roman" w:eastAsia="Times New Roman" w:hAnsi="Times New Roman" w:cs="Times New Roman"/>
                <w:sz w:val="20"/>
                <w:szCs w:val="20"/>
              </w:rPr>
            </w:pPr>
          </w:p>
        </w:tc>
      </w:tr>
      <w:tr w:rsidR="00D777A2" w14:paraId="3DFBDAAA" w14:textId="77777777" w:rsidTr="00D777A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777A2" w14:paraId="0D31A550"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777A2" w14:paraId="4BFC588F" w14:textId="77777777">
                    <w:trPr>
                      <w:tblCellSpacing w:w="0" w:type="dxa"/>
                      <w:jc w:val="center"/>
                    </w:trPr>
                    <w:tc>
                      <w:tcPr>
                        <w:tcW w:w="3000" w:type="dxa"/>
                        <w:tcMar>
                          <w:top w:w="30" w:type="dxa"/>
                          <w:left w:w="75" w:type="dxa"/>
                          <w:bottom w:w="30" w:type="dxa"/>
                          <w:right w:w="75" w:type="dxa"/>
                        </w:tcMar>
                        <w:hideMark/>
                      </w:tcPr>
                      <w:p w14:paraId="76B3BB8D" w14:textId="77777777" w:rsidR="00D777A2" w:rsidRDefault="00D777A2">
                        <w:pPr>
                          <w:pStyle w:val="Heading4"/>
                          <w:jc w:val="center"/>
                          <w:rPr>
                            <w:rFonts w:eastAsia="Times New Roman"/>
                          </w:rPr>
                        </w:pPr>
                        <w:r>
                          <w:rPr>
                            <w:rFonts w:eastAsia="Times New Roman"/>
                          </w:rPr>
                          <w:lastRenderedPageBreak/>
                          <w:t>Pharmaceutical Services Negotiating Committee</w:t>
                        </w:r>
                      </w:p>
                      <w:p w14:paraId="682F1658" w14:textId="073202F0" w:rsidR="00D777A2" w:rsidRDefault="00D777A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D8B9AF5" wp14:editId="0F31DE83">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FC47309" wp14:editId="3E1EB3EA">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E7DE56E" wp14:editId="43F3231D">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ED77989" wp14:editId="75C61578">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1790D33" w14:textId="77777777" w:rsidR="00D777A2" w:rsidRDefault="00D777A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777A2" w14:paraId="2CBD68FC" w14:textId="77777777" w:rsidTr="00D777A2">
                    <w:trPr>
                      <w:trHeight w:val="20"/>
                      <w:tblCellSpacing w:w="0" w:type="dxa"/>
                      <w:jc w:val="center"/>
                    </w:trPr>
                    <w:tc>
                      <w:tcPr>
                        <w:tcW w:w="9000" w:type="dxa"/>
                        <w:tcMar>
                          <w:top w:w="150" w:type="dxa"/>
                          <w:left w:w="0" w:type="dxa"/>
                          <w:bottom w:w="0" w:type="dxa"/>
                          <w:right w:w="0" w:type="dxa"/>
                        </w:tcMar>
                        <w:vAlign w:val="center"/>
                        <w:hideMark/>
                      </w:tcPr>
                      <w:p w14:paraId="2ADE49AE" w14:textId="19BE5F53" w:rsidR="00D777A2" w:rsidRDefault="00D777A2" w:rsidP="00D777A2">
                        <w:pPr>
                          <w:rPr>
                            <w:rFonts w:ascii="Arial" w:eastAsia="Times New Roman" w:hAnsi="Arial" w:cs="Arial"/>
                            <w:color w:val="FFFFFF"/>
                            <w:sz w:val="17"/>
                            <w:szCs w:val="17"/>
                          </w:rPr>
                        </w:pPr>
                      </w:p>
                    </w:tc>
                  </w:tr>
                </w:tbl>
                <w:p w14:paraId="79715E0A" w14:textId="77777777" w:rsidR="00D777A2" w:rsidRDefault="00D777A2">
                  <w:pPr>
                    <w:jc w:val="center"/>
                    <w:rPr>
                      <w:rFonts w:ascii="Times New Roman" w:eastAsia="Times New Roman" w:hAnsi="Times New Roman" w:cs="Times New Roman"/>
                      <w:sz w:val="20"/>
                      <w:szCs w:val="20"/>
                    </w:rPr>
                  </w:pPr>
                </w:p>
              </w:tc>
            </w:tr>
          </w:tbl>
          <w:p w14:paraId="449FB552" w14:textId="77777777" w:rsidR="00D777A2" w:rsidRDefault="00D777A2">
            <w:pPr>
              <w:jc w:val="center"/>
              <w:rPr>
                <w:rFonts w:ascii="Times New Roman" w:eastAsia="Times New Roman" w:hAnsi="Times New Roman" w:cs="Times New Roman"/>
                <w:sz w:val="20"/>
                <w:szCs w:val="20"/>
              </w:rPr>
            </w:pPr>
          </w:p>
        </w:tc>
      </w:tr>
    </w:tbl>
    <w:p w14:paraId="0200775D" w14:textId="437D53DC" w:rsidR="00D777A2" w:rsidRDefault="00D777A2" w:rsidP="00D777A2">
      <w:pPr>
        <w:rPr>
          <w:rFonts w:eastAsia="Times New Roman"/>
        </w:rPr>
      </w:pPr>
      <w:r>
        <w:rPr>
          <w:rFonts w:eastAsia="Times New Roman"/>
          <w:noProof/>
        </w:rPr>
        <w:drawing>
          <wp:inline distT="0" distB="0" distL="0" distR="0" wp14:anchorId="0B5E6F0A" wp14:editId="68348FCB">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447B24F"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A2"/>
    <w:rsid w:val="00D777A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F38F"/>
  <w15:chartTrackingRefBased/>
  <w15:docId w15:val="{A207870F-E122-4F3D-8E96-129CD8D4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A2"/>
    <w:rPr>
      <w:rFonts w:ascii="Calibri" w:hAnsi="Calibri" w:cs="Calibri"/>
      <w:lang w:eastAsia="en-GB"/>
    </w:rPr>
  </w:style>
  <w:style w:type="paragraph" w:styleId="Heading1">
    <w:name w:val="heading 1"/>
    <w:basedOn w:val="Normal"/>
    <w:link w:val="Heading1Char"/>
    <w:uiPriority w:val="9"/>
    <w:qFormat/>
    <w:rsid w:val="00D777A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777A2"/>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D777A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A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777A2"/>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D777A2"/>
    <w:rPr>
      <w:rFonts w:ascii="Tahoma" w:hAnsi="Tahoma" w:cs="Tahoma"/>
      <w:b/>
      <w:bCs/>
      <w:color w:val="FFFFFF"/>
      <w:sz w:val="18"/>
      <w:szCs w:val="18"/>
      <w:lang w:eastAsia="en-GB"/>
    </w:rPr>
  </w:style>
  <w:style w:type="paragraph" w:styleId="NormalWeb">
    <w:name w:val="Normal (Web)"/>
    <w:basedOn w:val="Normal"/>
    <w:uiPriority w:val="99"/>
    <w:semiHidden/>
    <w:unhideWhenUsed/>
    <w:rsid w:val="00D777A2"/>
    <w:pPr>
      <w:spacing w:before="100" w:beforeAutospacing="1" w:after="100" w:afterAutospacing="1"/>
    </w:pPr>
  </w:style>
  <w:style w:type="character" w:styleId="Strong">
    <w:name w:val="Strong"/>
    <w:basedOn w:val="DefaultParagraphFont"/>
    <w:uiPriority w:val="22"/>
    <w:qFormat/>
    <w:rsid w:val="00D777A2"/>
    <w:rPr>
      <w:b/>
      <w:bCs/>
    </w:rPr>
  </w:style>
  <w:style w:type="character" w:styleId="Hyperlink">
    <w:name w:val="Hyperlink"/>
    <w:basedOn w:val="DefaultParagraphFont"/>
    <w:uiPriority w:val="99"/>
    <w:semiHidden/>
    <w:unhideWhenUsed/>
    <w:rsid w:val="00D77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3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400b9ad74c&amp;e=d19e9fd41c" TargetMode="External"/><Relationship Id="rId13" Type="http://schemas.openxmlformats.org/officeDocument/2006/relationships/hyperlink" Target="https://psnc.us7.list-manage.com/track/click?u=86d41ab7fa4c7c2c5d7210782&amp;id=508ed26cc8&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0c8187508a&amp;e=d19e9fd41c" TargetMode="External"/><Relationship Id="rId17" Type="http://schemas.openxmlformats.org/officeDocument/2006/relationships/hyperlink" Target="https://psnc.us7.list-manage.com/track/click?u=86d41ab7fa4c7c2c5d7210782&amp;id=073c97a5a1&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5dcffc8271&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beb0368586&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d853849bf1&amp;e=d19e9fd41c" TargetMode="External"/><Relationship Id="rId28" Type="http://schemas.openxmlformats.org/officeDocument/2006/relationships/image" Target="https://psnc.us7.list-manage.com/track/open.php?u=86d41ab7fa4c7c2c5d7210782&amp;id=b788682675&amp;e=d19e9fd41c" TargetMode="External"/><Relationship Id="rId10" Type="http://schemas.openxmlformats.org/officeDocument/2006/relationships/hyperlink" Target="https://psnc.us7.list-manage.com/track/click?u=86d41ab7fa4c7c2c5d7210782&amp;id=64bde99211&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b19c89aa2d&amp;e=d19e9fd41c" TargetMode="External"/><Relationship Id="rId14" Type="http://schemas.openxmlformats.org/officeDocument/2006/relationships/hyperlink" Target="https://psnc.us7.list-manage.com/track/click?u=86d41ab7fa4c7c2c5d7210782&amp;id=3c5f0bb2be&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2022-06-16T09:16:00Z</dcterms:created>
  <dcterms:modified xsi:type="dcterms:W3CDTF">2022-06-16T09:17:00Z</dcterms:modified>
</cp:coreProperties>
</file>