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B5C4A" w14:paraId="69C59AC6" w14:textId="77777777" w:rsidTr="009B5C4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B5C4A" w14:paraId="7CFC89D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B5C4A" w14:paraId="0F788A03" w14:textId="77777777">
                    <w:trPr>
                      <w:tblCellSpacing w:w="0" w:type="dxa"/>
                      <w:jc w:val="center"/>
                    </w:trPr>
                    <w:tc>
                      <w:tcPr>
                        <w:tcW w:w="3000" w:type="dxa"/>
                        <w:hideMark/>
                      </w:tcPr>
                      <w:p w14:paraId="42108985" w14:textId="7A3C7EAC" w:rsidR="009B5C4A" w:rsidRDefault="009B5C4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E534EA3" w14:textId="77777777" w:rsidR="009B5C4A" w:rsidRDefault="009B5C4A">
                  <w:pPr>
                    <w:jc w:val="center"/>
                    <w:rPr>
                      <w:rFonts w:ascii="Times New Roman" w:eastAsia="Times New Roman" w:hAnsi="Times New Roman" w:cs="Times New Roman"/>
                      <w:sz w:val="20"/>
                      <w:szCs w:val="20"/>
                    </w:rPr>
                  </w:pPr>
                </w:p>
              </w:tc>
            </w:tr>
            <w:tr w:rsidR="009B5C4A" w14:paraId="3FC07BD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B5C4A" w14:paraId="700EC8C7"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25274F02" w14:textId="008130CF" w:rsidR="009B5C4A" w:rsidRDefault="009B5C4A">
                        <w:pPr>
                          <w:jc w:val="center"/>
                          <w:rPr>
                            <w:rFonts w:eastAsia="Times New Roman"/>
                          </w:rPr>
                        </w:pPr>
                        <w:r>
                          <w:rPr>
                            <w:rFonts w:eastAsia="Times New Roman"/>
                            <w:noProof/>
                          </w:rPr>
                          <w:drawing>
                            <wp:inline distT="0" distB="0" distL="0" distR="0" wp14:anchorId="1246AB68" wp14:editId="0741C07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B5C4A" w14:paraId="5C3355C1" w14:textId="77777777">
                    <w:trPr>
                      <w:tblCellSpacing w:w="0" w:type="dxa"/>
                    </w:trPr>
                    <w:tc>
                      <w:tcPr>
                        <w:tcW w:w="0" w:type="auto"/>
                        <w:vMerge/>
                        <w:tcBorders>
                          <w:top w:val="nil"/>
                          <w:left w:val="nil"/>
                          <w:bottom w:val="single" w:sz="2" w:space="0" w:color="FFFFFF"/>
                          <w:right w:val="nil"/>
                        </w:tcBorders>
                        <w:vAlign w:val="center"/>
                        <w:hideMark/>
                      </w:tcPr>
                      <w:p w14:paraId="02397E52" w14:textId="77777777" w:rsidR="009B5C4A" w:rsidRDefault="009B5C4A">
                        <w:pPr>
                          <w:rPr>
                            <w:rFonts w:eastAsia="Times New Roman"/>
                          </w:rPr>
                        </w:pPr>
                      </w:p>
                    </w:tc>
                    <w:tc>
                      <w:tcPr>
                        <w:tcW w:w="3450" w:type="dxa"/>
                        <w:tcBorders>
                          <w:top w:val="nil"/>
                          <w:left w:val="nil"/>
                          <w:bottom w:val="nil"/>
                          <w:right w:val="nil"/>
                        </w:tcBorders>
                        <w:vAlign w:val="center"/>
                        <w:hideMark/>
                      </w:tcPr>
                      <w:p w14:paraId="72AFC55C" w14:textId="77777777" w:rsidR="009B5C4A" w:rsidRDefault="009B5C4A">
                        <w:pPr>
                          <w:pStyle w:val="Heading1"/>
                          <w:rPr>
                            <w:rFonts w:eastAsia="Times New Roman"/>
                          </w:rPr>
                        </w:pPr>
                        <w:r>
                          <w:rPr>
                            <w:rFonts w:eastAsia="Times New Roman"/>
                          </w:rPr>
                          <w:t>PSNC Newsletter</w:t>
                        </w:r>
                      </w:p>
                    </w:tc>
                  </w:tr>
                  <w:tr w:rsidR="009B5C4A" w14:paraId="4A3209DF" w14:textId="77777777">
                    <w:trPr>
                      <w:tblCellSpacing w:w="0" w:type="dxa"/>
                    </w:trPr>
                    <w:tc>
                      <w:tcPr>
                        <w:tcW w:w="0" w:type="auto"/>
                        <w:vMerge/>
                        <w:tcBorders>
                          <w:top w:val="nil"/>
                          <w:left w:val="nil"/>
                          <w:bottom w:val="single" w:sz="2" w:space="0" w:color="FFFFFF"/>
                          <w:right w:val="nil"/>
                        </w:tcBorders>
                        <w:vAlign w:val="center"/>
                        <w:hideMark/>
                      </w:tcPr>
                      <w:p w14:paraId="386DBD48" w14:textId="77777777" w:rsidR="009B5C4A" w:rsidRDefault="009B5C4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50349C5" w14:textId="77777777" w:rsidR="009B5C4A" w:rsidRDefault="009B5C4A">
                        <w:pPr>
                          <w:pStyle w:val="Heading2"/>
                          <w:rPr>
                            <w:rFonts w:eastAsia="Times New Roman"/>
                            <w:color w:val="93378A"/>
                          </w:rPr>
                        </w:pPr>
                        <w:r>
                          <w:rPr>
                            <w:rFonts w:eastAsia="Times New Roman"/>
                            <w:color w:val="93378A"/>
                          </w:rPr>
                          <w:t>Friday 27th May 2022</w:t>
                        </w:r>
                      </w:p>
                    </w:tc>
                  </w:tr>
                </w:tbl>
                <w:p w14:paraId="7CB17AC9" w14:textId="77777777" w:rsidR="009B5C4A" w:rsidRDefault="009B5C4A">
                  <w:pPr>
                    <w:rPr>
                      <w:rFonts w:ascii="Times New Roman" w:eastAsia="Times New Roman" w:hAnsi="Times New Roman" w:cs="Times New Roman"/>
                      <w:sz w:val="20"/>
                      <w:szCs w:val="20"/>
                    </w:rPr>
                  </w:pPr>
                </w:p>
              </w:tc>
            </w:tr>
            <w:tr w:rsidR="009B5C4A" w14:paraId="391D23F9" w14:textId="77777777">
              <w:tblPrEx>
                <w:shd w:val="clear" w:color="auto" w:fill="auto"/>
              </w:tblPrEx>
              <w:trPr>
                <w:tblCellSpacing w:w="0" w:type="dxa"/>
                <w:jc w:val="center"/>
              </w:trPr>
              <w:tc>
                <w:tcPr>
                  <w:tcW w:w="9000" w:type="dxa"/>
                  <w:hideMark/>
                </w:tcPr>
                <w:p w14:paraId="565C9717" w14:textId="7E4CAA23" w:rsidR="009B5C4A" w:rsidRDefault="009B5C4A">
                  <w:pPr>
                    <w:rPr>
                      <w:rFonts w:eastAsia="Times New Roman"/>
                    </w:rPr>
                  </w:pPr>
                  <w:r>
                    <w:rPr>
                      <w:rFonts w:eastAsia="Times New Roman"/>
                      <w:noProof/>
                    </w:rPr>
                    <w:drawing>
                      <wp:inline distT="0" distB="0" distL="0" distR="0" wp14:anchorId="3C2A694E" wp14:editId="7D1DE0F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B5C4A" w14:paraId="1AFD4EF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9B5C4A" w14:paraId="0E223FA8" w14:textId="77777777">
                    <w:trPr>
                      <w:trHeight w:val="150"/>
                      <w:tblCellSpacing w:w="15" w:type="dxa"/>
                      <w:jc w:val="center"/>
                    </w:trPr>
                    <w:tc>
                      <w:tcPr>
                        <w:tcW w:w="150" w:type="dxa"/>
                        <w:vAlign w:val="center"/>
                        <w:hideMark/>
                      </w:tcPr>
                      <w:p w14:paraId="2DF9E066" w14:textId="77777777" w:rsidR="009B5C4A" w:rsidRDefault="009B5C4A">
                        <w:pPr>
                          <w:rPr>
                            <w:rFonts w:eastAsia="Times New Roman"/>
                          </w:rPr>
                        </w:pPr>
                      </w:p>
                    </w:tc>
                    <w:tc>
                      <w:tcPr>
                        <w:tcW w:w="8700" w:type="dxa"/>
                        <w:vAlign w:val="center"/>
                        <w:hideMark/>
                      </w:tcPr>
                      <w:p w14:paraId="662273D5" w14:textId="77777777" w:rsidR="009B5C4A" w:rsidRDefault="009B5C4A">
                        <w:pPr>
                          <w:rPr>
                            <w:rFonts w:ascii="Times New Roman" w:eastAsia="Times New Roman" w:hAnsi="Times New Roman" w:cs="Times New Roman"/>
                            <w:sz w:val="20"/>
                            <w:szCs w:val="20"/>
                          </w:rPr>
                        </w:pPr>
                      </w:p>
                    </w:tc>
                    <w:tc>
                      <w:tcPr>
                        <w:tcW w:w="150" w:type="dxa"/>
                        <w:vAlign w:val="center"/>
                        <w:hideMark/>
                      </w:tcPr>
                      <w:p w14:paraId="52C296DB" w14:textId="77777777" w:rsidR="009B5C4A" w:rsidRDefault="009B5C4A">
                        <w:pPr>
                          <w:rPr>
                            <w:rFonts w:ascii="Times New Roman" w:eastAsia="Times New Roman" w:hAnsi="Times New Roman" w:cs="Times New Roman"/>
                            <w:sz w:val="20"/>
                            <w:szCs w:val="20"/>
                          </w:rPr>
                        </w:pPr>
                      </w:p>
                    </w:tc>
                  </w:tr>
                  <w:tr w:rsidR="009B5C4A" w14:paraId="454B4098" w14:textId="77777777">
                    <w:trPr>
                      <w:tblCellSpacing w:w="15" w:type="dxa"/>
                      <w:jc w:val="center"/>
                    </w:trPr>
                    <w:tc>
                      <w:tcPr>
                        <w:tcW w:w="150" w:type="dxa"/>
                        <w:vAlign w:val="center"/>
                        <w:hideMark/>
                      </w:tcPr>
                      <w:p w14:paraId="52F0B951" w14:textId="77777777" w:rsidR="009B5C4A" w:rsidRDefault="009B5C4A">
                        <w:pPr>
                          <w:rPr>
                            <w:rFonts w:ascii="Times New Roman" w:eastAsia="Times New Roman" w:hAnsi="Times New Roman" w:cs="Times New Roman"/>
                            <w:sz w:val="20"/>
                            <w:szCs w:val="20"/>
                          </w:rPr>
                        </w:pPr>
                      </w:p>
                    </w:tc>
                    <w:tc>
                      <w:tcPr>
                        <w:tcW w:w="8700" w:type="dxa"/>
                        <w:vAlign w:val="center"/>
                        <w:hideMark/>
                      </w:tcPr>
                      <w:p w14:paraId="7802357C" w14:textId="77777777" w:rsidR="009B5C4A" w:rsidRDefault="009B5C4A">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7CAC6D1" w14:textId="77777777" w:rsidR="009B5C4A" w:rsidRDefault="00A7636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216BBD7">
                            <v:rect id="_x0000_i1025" style="width:468pt;height:1.5pt" o:hralign="center" o:hrstd="t" o:hr="t" fillcolor="#a0a0a0" stroked="f"/>
                          </w:pict>
                        </w:r>
                      </w:p>
                      <w:p w14:paraId="093A01A4" w14:textId="77777777" w:rsidR="009B5C4A" w:rsidRDefault="009B5C4A">
                        <w:pPr>
                          <w:pStyle w:val="Heading2"/>
                          <w:rPr>
                            <w:rFonts w:eastAsia="Times New Roman"/>
                          </w:rPr>
                        </w:pPr>
                        <w:r>
                          <w:rPr>
                            <w:rFonts w:eastAsia="Times New Roman"/>
                          </w:rPr>
                          <w:t>In this update: Voting now open on RSG proposals; FP34C submission deadline extended; endorsing HRT SSPs; DSPTK webinar now on-demand; clinical skills training survey; inform new healthcare IT standard.</w:t>
                        </w:r>
                      </w:p>
                      <w:p w14:paraId="115DAF85" w14:textId="77777777" w:rsidR="009B5C4A" w:rsidRDefault="00A7636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D30ED29">
                            <v:rect id="_x0000_i1026" style="width:468pt;height:1.5pt" o:hralign="center" o:hrstd="t" o:hr="t" fillcolor="#a0a0a0" stroked="f"/>
                          </w:pict>
                        </w:r>
                      </w:p>
                      <w:p w14:paraId="52234AF8" w14:textId="77777777" w:rsidR="009B5C4A" w:rsidRDefault="009B5C4A" w:rsidP="009B5C4A">
                        <w:pPr>
                          <w:pStyle w:val="Heading2"/>
                          <w:spacing w:after="0"/>
                          <w:rPr>
                            <w:rFonts w:eastAsia="Times New Roman"/>
                          </w:rPr>
                        </w:pPr>
                        <w:r>
                          <w:rPr>
                            <w:rFonts w:eastAsia="Times New Roman"/>
                          </w:rPr>
                          <w:t>Vote now on RSG proposals for future of PSNC and the LPCs</w:t>
                        </w:r>
                      </w:p>
                      <w:p w14:paraId="2EFFFB24" w14:textId="77777777" w:rsidR="009B5C4A" w:rsidRDefault="009B5C4A"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can now vote on the Pharmacy Review Steering Group (RSG) proposals to improve the representation and support provided by PSNC and the LPCs. </w:t>
                        </w:r>
                      </w:p>
                      <w:p w14:paraId="2D524EE6" w14:textId="7DD47648" w:rsidR="009B5C4A" w:rsidRDefault="009B5C4A" w:rsidP="009B5C4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have been sent full voting instructions, including an electronic voting notice containing the unique voting link for their pharmacy from </w:t>
                        </w:r>
                        <w:hyperlink r:id="rId8" w:tgtFrame="_blank" w:history="1">
                          <w:r>
                            <w:rPr>
                              <w:rStyle w:val="Hyperlink"/>
                              <w:rFonts w:ascii="Tahoma" w:hAnsi="Tahoma" w:cs="Tahoma"/>
                              <w:b/>
                              <w:bCs/>
                              <w:color w:val="4E3487"/>
                              <w:sz w:val="21"/>
                              <w:szCs w:val="21"/>
                            </w:rPr>
                            <w:t>takepart@cesvotes.com</w:t>
                          </w:r>
                        </w:hyperlink>
                        <w:r>
                          <w:rPr>
                            <w:rFonts w:ascii="Tahoma" w:hAnsi="Tahoma" w:cs="Tahoma"/>
                            <w:color w:val="303030"/>
                            <w:sz w:val="21"/>
                            <w:szCs w:val="21"/>
                          </w:rPr>
                          <w:t xml:space="preserve">. This notice has been sent to the shared </w:t>
                        </w:r>
                        <w:proofErr w:type="spellStart"/>
                        <w:r>
                          <w:rPr>
                            <w:rFonts w:ascii="Tahoma" w:hAnsi="Tahoma" w:cs="Tahoma"/>
                            <w:color w:val="303030"/>
                            <w:sz w:val="21"/>
                            <w:szCs w:val="21"/>
                          </w:rPr>
                          <w:t>NHSmail</w:t>
                        </w:r>
                        <w:proofErr w:type="spellEnd"/>
                        <w:r>
                          <w:rPr>
                            <w:rFonts w:ascii="Tahoma" w:hAnsi="Tahoma" w:cs="Tahoma"/>
                            <w:color w:val="303030"/>
                            <w:sz w:val="21"/>
                            <w:szCs w:val="21"/>
                          </w:rPr>
                          <w:t> inbox of each pharmacy premises or to a nominated head office contact.</w:t>
                        </w:r>
                      </w:p>
                      <w:p w14:paraId="5ACA9447" w14:textId="77777777" w:rsidR="009B5C4A" w:rsidRDefault="009B5C4A" w:rsidP="009B5C4A">
                        <w:pPr>
                          <w:pStyle w:val="NormalWeb"/>
                          <w:spacing w:before="0" w:beforeAutospacing="0" w:after="0" w:afterAutospacing="0" w:line="264" w:lineRule="auto"/>
                          <w:rPr>
                            <w:rFonts w:ascii="Tahoma" w:hAnsi="Tahoma" w:cs="Tahoma"/>
                            <w:color w:val="303030"/>
                            <w:sz w:val="21"/>
                            <w:szCs w:val="21"/>
                          </w:rPr>
                        </w:pPr>
                      </w:p>
                      <w:p w14:paraId="49A99795" w14:textId="77777777" w:rsidR="009B5C4A" w:rsidRDefault="009B5C4A" w:rsidP="009B5C4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To aid contractors' understanding of its proposals, the RSG is holding a national briefing event on </w:t>
                        </w:r>
                        <w:r>
                          <w:rPr>
                            <w:rStyle w:val="Strong"/>
                            <w:rFonts w:ascii="Tahoma" w:hAnsi="Tahoma" w:cs="Tahoma"/>
                            <w:color w:val="303030"/>
                            <w:sz w:val="21"/>
                            <w:szCs w:val="21"/>
                          </w:rPr>
                          <w:t>Tuesday 7th June, from 7-9pm</w:t>
                        </w:r>
                        <w:r>
                          <w:rPr>
                            <w:rFonts w:ascii="Tahoma" w:hAnsi="Tahoma" w:cs="Tahoma"/>
                            <w:color w:val="303030"/>
                            <w:sz w:val="21"/>
                            <w:szCs w:val="21"/>
                          </w:rPr>
                          <w:t>. This event is an opportunity to hear directly from RSG members about the proposals and to ask any questions you may have about them. You can register for the event </w:t>
                        </w:r>
                        <w:hyperlink r:id="rId9"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p>
                      <w:p w14:paraId="0A291AA8" w14:textId="77777777" w:rsidR="009B5C4A" w:rsidRDefault="00A76361"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90737BA">
                            <v:rect id="_x0000_i1027" style="width:468pt;height:1.5pt" o:hrstd="t" o:hr="t" fillcolor="#a0a0a0" stroked="f"/>
                          </w:pict>
                        </w:r>
                      </w:p>
                      <w:p w14:paraId="65F0453E" w14:textId="77777777" w:rsidR="009B5C4A" w:rsidRDefault="009B5C4A" w:rsidP="009B5C4A">
                        <w:pPr>
                          <w:pStyle w:val="Heading2"/>
                          <w:spacing w:after="0"/>
                          <w:rPr>
                            <w:rFonts w:eastAsia="Times New Roman"/>
                          </w:rPr>
                        </w:pPr>
                        <w:r>
                          <w:rPr>
                            <w:rFonts w:eastAsia="Times New Roman"/>
                          </w:rPr>
                          <w:t>FP34C submission deadline extended</w:t>
                        </w:r>
                      </w:p>
                      <w:p w14:paraId="4D9D4DCA" w14:textId="28A745D4" w:rsidR="009B5C4A" w:rsidRDefault="009B5C4A"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Due to the upcoming Jubilee bank holidays, contractors have until </w:t>
                        </w:r>
                        <w:r>
                          <w:rPr>
                            <w:rStyle w:val="Strong"/>
                            <w:rFonts w:ascii="Tahoma" w:eastAsia="Times New Roman" w:hAnsi="Tahoma" w:cs="Tahoma"/>
                            <w:color w:val="303030"/>
                            <w:sz w:val="21"/>
                            <w:szCs w:val="21"/>
                          </w:rPr>
                          <w:t>7th June 2022</w:t>
                        </w:r>
                        <w:r>
                          <w:rPr>
                            <w:rFonts w:ascii="Tahoma" w:eastAsia="Times New Roman" w:hAnsi="Tahoma" w:cs="Tahoma"/>
                            <w:color w:val="303030"/>
                            <w:sz w:val="21"/>
                            <w:szCs w:val="21"/>
                          </w:rPr>
                          <w:t xml:space="preserve"> to submit their FP34C declaration through the Manage Your Service (MYS) portal for NHS pharmaceutical services delivered in May 2022. </w:t>
                        </w:r>
                      </w:p>
                      <w:p w14:paraId="342EAE48" w14:textId="77777777" w:rsidR="009B5C4A" w:rsidRDefault="009B5C4A" w:rsidP="009B5C4A">
                        <w:pPr>
                          <w:spacing w:line="264" w:lineRule="auto"/>
                          <w:rPr>
                            <w:rFonts w:ascii="Tahoma" w:eastAsia="Times New Roman" w:hAnsi="Tahoma" w:cs="Tahoma"/>
                            <w:color w:val="303030"/>
                            <w:sz w:val="21"/>
                            <w:szCs w:val="21"/>
                          </w:rPr>
                        </w:pPr>
                      </w:p>
                      <w:p w14:paraId="26BE184C" w14:textId="77777777" w:rsidR="009B5C4A" w:rsidRDefault="009B5C4A" w:rsidP="009B5C4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This one-off extended submission deadline has been granted by the Department of Health and Social Care to ensure contractors have sufficient time to submit their FP34Cs through MYS in order to receive earlier advance payment.</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65B6F43F" w14:textId="77777777" w:rsidR="009B5C4A" w:rsidRDefault="00A76361"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4F1C1E6">
                            <v:rect id="_x0000_i1028" style="width:468pt;height:1.5pt" o:hrstd="t" o:hr="t" fillcolor="#a0a0a0" stroked="f"/>
                          </w:pict>
                        </w:r>
                      </w:p>
                      <w:p w14:paraId="36C51085" w14:textId="77777777" w:rsidR="009B5C4A" w:rsidRDefault="009B5C4A" w:rsidP="009B5C4A">
                        <w:pPr>
                          <w:pStyle w:val="Heading2"/>
                          <w:spacing w:after="0"/>
                          <w:rPr>
                            <w:rFonts w:eastAsia="Times New Roman"/>
                          </w:rPr>
                        </w:pPr>
                        <w:r>
                          <w:rPr>
                            <w:rFonts w:eastAsia="Times New Roman"/>
                          </w:rPr>
                          <w:t>SSP endorsements and new flowcharts on selection of HRT SSPs</w:t>
                        </w:r>
                      </w:p>
                      <w:p w14:paraId="41178CEB" w14:textId="77777777" w:rsidR="009B5C4A" w:rsidRDefault="009B5C4A" w:rsidP="009B5C4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 has been informed that the NHS Business Services Authority (NHSBSA) has received several claims endorsed with an incorrect/invalid Serious Shortage Protocol (SSP) number </w:t>
                        </w:r>
                        <w:r>
                          <w:rPr>
                            <w:rFonts w:ascii="Tahoma" w:hAnsi="Tahoma" w:cs="Tahoma"/>
                            <w:color w:val="303030"/>
                            <w:sz w:val="21"/>
                            <w:szCs w:val="21"/>
                          </w:rPr>
                          <w:lastRenderedPageBreak/>
                          <w:t>for supplies made in accordance with Hormone Replacement Therapy (HRT) SSPs. Incorrect endorsements will affect pharmacy payments. Where in doubt, contractors should check with their PMR system supplier on the correct use of the SSP endorsement functionality available on their system.</w:t>
                        </w:r>
                        <w:r>
                          <w:rPr>
                            <w:rFonts w:ascii="Tahoma" w:hAnsi="Tahoma" w:cs="Tahoma"/>
                            <w:color w:val="303030"/>
                            <w:sz w:val="21"/>
                            <w:szCs w:val="21"/>
                          </w:rPr>
                          <w:br/>
                        </w:r>
                        <w:r>
                          <w:rPr>
                            <w:rFonts w:ascii="Tahoma" w:hAnsi="Tahoma" w:cs="Tahoma"/>
                            <w:color w:val="303030"/>
                            <w:sz w:val="21"/>
                            <w:szCs w:val="21"/>
                          </w:rPr>
                          <w:br/>
                          <w:t>To support contractors, PSNC's Dispensing and Supply Team has created some easy to use </w:t>
                        </w:r>
                        <w:hyperlink r:id="rId11" w:tgtFrame="_blank" w:history="1">
                          <w:r>
                            <w:rPr>
                              <w:rStyle w:val="Hyperlink"/>
                              <w:rFonts w:ascii="Tahoma" w:hAnsi="Tahoma" w:cs="Tahoma"/>
                              <w:b/>
                              <w:bCs/>
                              <w:color w:val="4E3487"/>
                              <w:sz w:val="21"/>
                              <w:szCs w:val="21"/>
                            </w:rPr>
                            <w:t>flow charts</w:t>
                          </w:r>
                        </w:hyperlink>
                        <w:r>
                          <w:rPr>
                            <w:rFonts w:ascii="Tahoma" w:hAnsi="Tahoma" w:cs="Tahoma"/>
                            <w:color w:val="303030"/>
                            <w:sz w:val="21"/>
                            <w:szCs w:val="21"/>
                          </w:rPr>
                          <w:t> to help pharmacists select the correct SSP for HRT medicines. These charts also include information about the correct SSP endorsement requirements and charge status to apply to the Electronic Reimbursement Endorsement Messages (EREMs) before SSP claims are submitted for payment to the NHSBSA.</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w:t>
                          </w:r>
                        </w:hyperlink>
                      </w:p>
                      <w:p w14:paraId="3F85DB9A" w14:textId="77777777" w:rsidR="009B5C4A" w:rsidRDefault="00A76361"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A85A8A">
                            <v:rect id="_x0000_i1029" style="width:468pt;height:1.5pt" o:hrstd="t" o:hr="t" fillcolor="#a0a0a0" stroked="f"/>
                          </w:pict>
                        </w:r>
                      </w:p>
                      <w:p w14:paraId="0D4680AF" w14:textId="77777777" w:rsidR="009B5C4A" w:rsidRDefault="009B5C4A" w:rsidP="009B5C4A">
                        <w:pPr>
                          <w:pStyle w:val="Heading2"/>
                          <w:spacing w:after="0"/>
                          <w:rPr>
                            <w:rFonts w:eastAsia="Times New Roman"/>
                          </w:rPr>
                        </w:pPr>
                        <w:r>
                          <w:rPr>
                            <w:rFonts w:eastAsia="Times New Roman"/>
                          </w:rPr>
                          <w:t>Data Security and Protection Toolkit Workshop now on-demand</w:t>
                        </w:r>
                      </w:p>
                      <w:p w14:paraId="64C375F7" w14:textId="77777777" w:rsidR="009B5C4A" w:rsidRDefault="009B5C4A"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week's PSNC workshop about the Data Security and Protection Tool is now available to view on-demand. 85% of contractors who attended the workshop said they found it useful and 80% said they would recommend it to others.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Watch the workshop</w:t>
                          </w:r>
                        </w:hyperlink>
                        <w:r>
                          <w:rPr>
                            <w:rFonts w:ascii="Tahoma" w:eastAsia="Times New Roman" w:hAnsi="Tahoma" w:cs="Tahoma"/>
                            <w:color w:val="303030"/>
                            <w:sz w:val="21"/>
                            <w:szCs w:val="21"/>
                          </w:rPr>
                          <w:t xml:space="preserve"> </w:t>
                        </w:r>
                      </w:p>
                      <w:p w14:paraId="39916E01" w14:textId="77777777" w:rsidR="009B5C4A" w:rsidRDefault="00A76361"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AA62CA2">
                            <v:rect id="_x0000_i1030" style="width:468pt;height:1.5pt" o:hrstd="t" o:hr="t" fillcolor="#a0a0a0" stroked="f"/>
                          </w:pict>
                        </w:r>
                      </w:p>
                      <w:p w14:paraId="1B35FE13" w14:textId="77777777" w:rsidR="009B5C4A" w:rsidRDefault="009B5C4A" w:rsidP="009B5C4A">
                        <w:pPr>
                          <w:pStyle w:val="Heading2"/>
                          <w:spacing w:after="0"/>
                          <w:rPr>
                            <w:rFonts w:eastAsia="Times New Roman"/>
                          </w:rPr>
                        </w:pPr>
                        <w:r>
                          <w:rPr>
                            <w:rFonts w:eastAsia="Times New Roman"/>
                          </w:rPr>
                          <w:t>HEE Clinical Skills Training Survey</w:t>
                        </w:r>
                      </w:p>
                      <w:p w14:paraId="0160CCFD" w14:textId="77777777" w:rsidR="009B5C4A" w:rsidRDefault="009B5C4A"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Health Education England (HEE) is seeking the views of frontline community pharmacists to aid in the development of further training modules to support pharmacists to provide NHS community pharmacy services across England.</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Those interested in submitting their views should complete the following short </w:t>
                        </w:r>
                        <w:hyperlink r:id="rId14" w:tgtFrame="_blank" w:history="1">
                          <w:r>
                            <w:rPr>
                              <w:rStyle w:val="Hyperlink"/>
                              <w:rFonts w:ascii="Tahoma" w:eastAsia="Times New Roman" w:hAnsi="Tahoma" w:cs="Tahoma"/>
                              <w:b/>
                              <w:bCs/>
                              <w:color w:val="4E3487"/>
                              <w:sz w:val="21"/>
                              <w:szCs w:val="21"/>
                            </w:rPr>
                            <w:t>survey</w:t>
                          </w:r>
                        </w:hyperlink>
                        <w:r>
                          <w:rPr>
                            <w:rFonts w:ascii="Tahoma" w:eastAsia="Times New Roman" w:hAnsi="Tahoma" w:cs="Tahoma"/>
                            <w:color w:val="303030"/>
                            <w:sz w:val="21"/>
                            <w:szCs w:val="21"/>
                          </w:rPr>
                          <w:t xml:space="preserve"> by the deadline on </w:t>
                        </w:r>
                        <w:r>
                          <w:rPr>
                            <w:rStyle w:val="Strong"/>
                            <w:rFonts w:ascii="Tahoma" w:eastAsia="Times New Roman" w:hAnsi="Tahoma" w:cs="Tahoma"/>
                            <w:color w:val="303030"/>
                            <w:sz w:val="21"/>
                            <w:szCs w:val="21"/>
                          </w:rPr>
                          <w:t>Friday 17th June 2022</w:t>
                        </w:r>
                        <w:r>
                          <w:rPr>
                            <w:rFonts w:ascii="Tahoma" w:eastAsia="Times New Roman" w:hAnsi="Tahoma" w:cs="Tahoma"/>
                            <w:color w:val="303030"/>
                            <w:sz w:val="21"/>
                            <w:szCs w:val="21"/>
                          </w:rPr>
                          <w:t xml:space="preserve">. </w:t>
                        </w:r>
                      </w:p>
                      <w:p w14:paraId="79A4AE38" w14:textId="77777777" w:rsidR="009B5C4A" w:rsidRDefault="00A76361"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0B2E26">
                            <v:rect id="_x0000_i1031" style="width:468pt;height:1.5pt" o:hrstd="t" o:hr="t" fillcolor="#a0a0a0" stroked="f"/>
                          </w:pict>
                        </w:r>
                      </w:p>
                      <w:p w14:paraId="3DBC8FE8" w14:textId="77777777" w:rsidR="009B5C4A" w:rsidRDefault="009B5C4A" w:rsidP="009B5C4A">
                        <w:pPr>
                          <w:pStyle w:val="Heading2"/>
                          <w:spacing w:after="0"/>
                          <w:rPr>
                            <w:rFonts w:eastAsia="Times New Roman"/>
                          </w:rPr>
                        </w:pPr>
                        <w:r>
                          <w:rPr>
                            <w:rFonts w:eastAsia="Times New Roman"/>
                          </w:rPr>
                          <w:t>Support the development of the new NHS Booking and Referral Standard</w:t>
                        </w:r>
                      </w:p>
                      <w:p w14:paraId="05E99C83" w14:textId="77777777" w:rsidR="009B5C4A" w:rsidRDefault="009B5C4A" w:rsidP="009B5C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Digital is inviting community pharmacy teams to share their views on the new Booking and Referral Standard (</w:t>
                        </w:r>
                        <w:proofErr w:type="spellStart"/>
                        <w:r>
                          <w:rPr>
                            <w:rFonts w:ascii="Tahoma" w:eastAsia="Times New Roman" w:hAnsi="Tahoma" w:cs="Tahoma"/>
                            <w:color w:val="303030"/>
                            <w:sz w:val="21"/>
                            <w:szCs w:val="21"/>
                          </w:rPr>
                          <w:t>BaRS</w:t>
                        </w:r>
                        <w:proofErr w:type="spellEnd"/>
                        <w:r>
                          <w:rPr>
                            <w:rFonts w:ascii="Tahoma" w:eastAsia="Times New Roman" w:hAnsi="Tahoma" w:cs="Tahoma"/>
                            <w:color w:val="303030"/>
                            <w:sz w:val="21"/>
                            <w:szCs w:val="21"/>
                          </w:rPr>
                          <w:t xml:space="preserve">). </w:t>
                        </w:r>
                        <w:proofErr w:type="spellStart"/>
                        <w:r>
                          <w:rPr>
                            <w:rFonts w:ascii="Tahoma" w:eastAsia="Times New Roman" w:hAnsi="Tahoma" w:cs="Tahoma"/>
                            <w:color w:val="303030"/>
                            <w:sz w:val="21"/>
                            <w:szCs w:val="21"/>
                          </w:rPr>
                          <w:t>BaRS</w:t>
                        </w:r>
                        <w:proofErr w:type="spellEnd"/>
                        <w:r>
                          <w:rPr>
                            <w:rFonts w:ascii="Tahoma" w:eastAsia="Times New Roman" w:hAnsi="Tahoma" w:cs="Tahoma"/>
                            <w:color w:val="303030"/>
                            <w:sz w:val="21"/>
                            <w:szCs w:val="21"/>
                          </w:rPr>
                          <w:t xml:space="preserve"> is an interoperability standard for healthcare IT systems which should enable booking and referral information to be sent to or from care providers quickly, safely and in a format useful to clinicians.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Find out how to get involved</w:t>
                          </w:r>
                        </w:hyperlink>
                      </w:p>
                    </w:tc>
                    <w:tc>
                      <w:tcPr>
                        <w:tcW w:w="150" w:type="dxa"/>
                        <w:vAlign w:val="center"/>
                        <w:hideMark/>
                      </w:tcPr>
                      <w:p w14:paraId="6E261046" w14:textId="77777777" w:rsidR="009B5C4A" w:rsidRDefault="009B5C4A">
                        <w:pPr>
                          <w:rPr>
                            <w:rFonts w:ascii="Tahoma" w:eastAsia="Times New Roman" w:hAnsi="Tahoma" w:cs="Tahoma"/>
                            <w:color w:val="303030"/>
                            <w:sz w:val="21"/>
                            <w:szCs w:val="21"/>
                          </w:rPr>
                        </w:pPr>
                      </w:p>
                    </w:tc>
                  </w:tr>
                  <w:tr w:rsidR="009B5C4A" w14:paraId="3644CC07" w14:textId="77777777">
                    <w:trPr>
                      <w:trHeight w:val="150"/>
                      <w:tblCellSpacing w:w="15" w:type="dxa"/>
                      <w:jc w:val="center"/>
                    </w:trPr>
                    <w:tc>
                      <w:tcPr>
                        <w:tcW w:w="150" w:type="dxa"/>
                        <w:vAlign w:val="center"/>
                        <w:hideMark/>
                      </w:tcPr>
                      <w:p w14:paraId="72F9E819" w14:textId="77777777" w:rsidR="009B5C4A" w:rsidRDefault="009B5C4A">
                        <w:pPr>
                          <w:rPr>
                            <w:rFonts w:ascii="Times New Roman" w:eastAsia="Times New Roman" w:hAnsi="Times New Roman" w:cs="Times New Roman"/>
                            <w:sz w:val="20"/>
                            <w:szCs w:val="20"/>
                          </w:rPr>
                        </w:pPr>
                      </w:p>
                    </w:tc>
                    <w:tc>
                      <w:tcPr>
                        <w:tcW w:w="8700" w:type="dxa"/>
                        <w:vAlign w:val="center"/>
                        <w:hideMark/>
                      </w:tcPr>
                      <w:p w14:paraId="784A01F6" w14:textId="77777777" w:rsidR="009B5C4A" w:rsidRDefault="009B5C4A">
                        <w:pPr>
                          <w:rPr>
                            <w:rFonts w:ascii="Times New Roman" w:eastAsia="Times New Roman" w:hAnsi="Times New Roman" w:cs="Times New Roman"/>
                            <w:sz w:val="20"/>
                            <w:szCs w:val="20"/>
                          </w:rPr>
                        </w:pPr>
                      </w:p>
                    </w:tc>
                    <w:tc>
                      <w:tcPr>
                        <w:tcW w:w="150" w:type="dxa"/>
                        <w:vAlign w:val="center"/>
                        <w:hideMark/>
                      </w:tcPr>
                      <w:p w14:paraId="4A3A3660" w14:textId="77777777" w:rsidR="009B5C4A" w:rsidRDefault="009B5C4A">
                        <w:pPr>
                          <w:rPr>
                            <w:rFonts w:ascii="Times New Roman" w:eastAsia="Times New Roman" w:hAnsi="Times New Roman" w:cs="Times New Roman"/>
                            <w:sz w:val="20"/>
                            <w:szCs w:val="20"/>
                          </w:rPr>
                        </w:pPr>
                      </w:p>
                    </w:tc>
                  </w:tr>
                </w:tbl>
                <w:p w14:paraId="08540981" w14:textId="77777777" w:rsidR="009B5C4A" w:rsidRDefault="009B5C4A">
                  <w:pPr>
                    <w:jc w:val="center"/>
                    <w:rPr>
                      <w:rFonts w:ascii="Times New Roman" w:eastAsia="Times New Roman" w:hAnsi="Times New Roman" w:cs="Times New Roman"/>
                      <w:sz w:val="20"/>
                      <w:szCs w:val="20"/>
                    </w:rPr>
                  </w:pPr>
                </w:p>
              </w:tc>
            </w:tr>
          </w:tbl>
          <w:p w14:paraId="02CC1170" w14:textId="77777777" w:rsidR="009B5C4A" w:rsidRDefault="009B5C4A">
            <w:pPr>
              <w:jc w:val="center"/>
              <w:rPr>
                <w:rFonts w:ascii="Times New Roman" w:eastAsia="Times New Roman" w:hAnsi="Times New Roman" w:cs="Times New Roman"/>
                <w:sz w:val="20"/>
                <w:szCs w:val="20"/>
              </w:rPr>
            </w:pPr>
          </w:p>
        </w:tc>
      </w:tr>
      <w:tr w:rsidR="009B5C4A" w14:paraId="2CBE3530" w14:textId="77777777" w:rsidTr="009B5C4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B5C4A" w14:paraId="622C17F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B5C4A" w14:paraId="71D2C592" w14:textId="77777777">
                    <w:trPr>
                      <w:tblCellSpacing w:w="0" w:type="dxa"/>
                      <w:jc w:val="center"/>
                    </w:trPr>
                    <w:tc>
                      <w:tcPr>
                        <w:tcW w:w="3000" w:type="dxa"/>
                        <w:tcMar>
                          <w:top w:w="30" w:type="dxa"/>
                          <w:left w:w="75" w:type="dxa"/>
                          <w:bottom w:w="30" w:type="dxa"/>
                          <w:right w:w="75" w:type="dxa"/>
                        </w:tcMar>
                        <w:hideMark/>
                      </w:tcPr>
                      <w:p w14:paraId="5CCF9AC3" w14:textId="77777777" w:rsidR="009B5C4A" w:rsidRDefault="009B5C4A">
                        <w:pPr>
                          <w:pStyle w:val="Heading4"/>
                          <w:jc w:val="center"/>
                          <w:rPr>
                            <w:rFonts w:eastAsia="Times New Roman"/>
                          </w:rPr>
                        </w:pPr>
                        <w:r>
                          <w:rPr>
                            <w:rFonts w:eastAsia="Times New Roman"/>
                          </w:rPr>
                          <w:lastRenderedPageBreak/>
                          <w:t>Pharmaceutical Services Negotiating Committee</w:t>
                        </w:r>
                      </w:p>
                      <w:p w14:paraId="23710CD9" w14:textId="10E41922" w:rsidR="009B5C4A" w:rsidRDefault="009B5C4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BF645D7" wp14:editId="5C7508EB">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1E22160" wp14:editId="694FEEE6">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B27124C" wp14:editId="40B9AC6F">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F5F72E" wp14:editId="7957F807">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306AAC9" w14:textId="77777777" w:rsidR="009B5C4A" w:rsidRDefault="009B5C4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B5C4A" w14:paraId="17B6D60D" w14:textId="77777777" w:rsidTr="009B5C4A">
                    <w:trPr>
                      <w:trHeight w:val="20"/>
                      <w:tblCellSpacing w:w="0" w:type="dxa"/>
                      <w:jc w:val="center"/>
                    </w:trPr>
                    <w:tc>
                      <w:tcPr>
                        <w:tcW w:w="9000" w:type="dxa"/>
                        <w:tcMar>
                          <w:top w:w="150" w:type="dxa"/>
                          <w:left w:w="0" w:type="dxa"/>
                          <w:bottom w:w="0" w:type="dxa"/>
                          <w:right w:w="0" w:type="dxa"/>
                        </w:tcMar>
                        <w:vAlign w:val="center"/>
                        <w:hideMark/>
                      </w:tcPr>
                      <w:p w14:paraId="3DF2691A" w14:textId="684CD91C" w:rsidR="009B5C4A" w:rsidRDefault="009B5C4A" w:rsidP="009B5C4A">
                        <w:pPr>
                          <w:rPr>
                            <w:rFonts w:ascii="Arial" w:eastAsia="Times New Roman" w:hAnsi="Arial" w:cs="Arial"/>
                            <w:color w:val="FFFFFF"/>
                            <w:sz w:val="17"/>
                            <w:szCs w:val="17"/>
                          </w:rPr>
                        </w:pPr>
                      </w:p>
                    </w:tc>
                  </w:tr>
                </w:tbl>
                <w:p w14:paraId="5C3E6EC3" w14:textId="77777777" w:rsidR="009B5C4A" w:rsidRDefault="009B5C4A">
                  <w:pPr>
                    <w:jc w:val="center"/>
                    <w:rPr>
                      <w:rFonts w:ascii="Times New Roman" w:eastAsia="Times New Roman" w:hAnsi="Times New Roman" w:cs="Times New Roman"/>
                      <w:sz w:val="20"/>
                      <w:szCs w:val="20"/>
                    </w:rPr>
                  </w:pPr>
                </w:p>
              </w:tc>
            </w:tr>
          </w:tbl>
          <w:p w14:paraId="50A03280" w14:textId="77777777" w:rsidR="009B5C4A" w:rsidRDefault="009B5C4A">
            <w:pPr>
              <w:jc w:val="center"/>
              <w:rPr>
                <w:rFonts w:ascii="Times New Roman" w:eastAsia="Times New Roman" w:hAnsi="Times New Roman" w:cs="Times New Roman"/>
                <w:sz w:val="20"/>
                <w:szCs w:val="20"/>
              </w:rPr>
            </w:pPr>
          </w:p>
        </w:tc>
      </w:tr>
    </w:tbl>
    <w:p w14:paraId="180B405E" w14:textId="5706A0E8" w:rsidR="009B5C4A" w:rsidRDefault="009B5C4A" w:rsidP="009B5C4A">
      <w:pPr>
        <w:rPr>
          <w:rFonts w:eastAsia="Times New Roman"/>
        </w:rPr>
      </w:pPr>
      <w:r>
        <w:rPr>
          <w:rFonts w:eastAsia="Times New Roman"/>
          <w:noProof/>
        </w:rPr>
        <w:drawing>
          <wp:inline distT="0" distB="0" distL="0" distR="0" wp14:anchorId="0B186612" wp14:editId="03B8790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3DDB6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4A"/>
    <w:rsid w:val="009B5C4A"/>
    <w:rsid w:val="00A7636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3450434"/>
  <w15:chartTrackingRefBased/>
  <w15:docId w15:val="{FBD4327E-D591-4395-8B8A-58F14BBE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4A"/>
    <w:rPr>
      <w:rFonts w:ascii="Calibri" w:hAnsi="Calibri" w:cs="Calibri"/>
      <w:lang w:eastAsia="en-GB"/>
    </w:rPr>
  </w:style>
  <w:style w:type="paragraph" w:styleId="Heading1">
    <w:name w:val="heading 1"/>
    <w:basedOn w:val="Normal"/>
    <w:link w:val="Heading1Char"/>
    <w:uiPriority w:val="9"/>
    <w:qFormat/>
    <w:rsid w:val="009B5C4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B5C4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B5C4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4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B5C4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B5C4A"/>
    <w:rPr>
      <w:rFonts w:ascii="Tahoma" w:hAnsi="Tahoma" w:cs="Tahoma"/>
      <w:b/>
      <w:bCs/>
      <w:color w:val="FFFFFF"/>
      <w:sz w:val="18"/>
      <w:szCs w:val="18"/>
      <w:lang w:eastAsia="en-GB"/>
    </w:rPr>
  </w:style>
  <w:style w:type="paragraph" w:styleId="NormalWeb">
    <w:name w:val="Normal (Web)"/>
    <w:basedOn w:val="Normal"/>
    <w:uiPriority w:val="99"/>
    <w:semiHidden/>
    <w:unhideWhenUsed/>
    <w:rsid w:val="009B5C4A"/>
    <w:pPr>
      <w:spacing w:before="100" w:beforeAutospacing="1" w:after="100" w:afterAutospacing="1"/>
    </w:pPr>
  </w:style>
  <w:style w:type="character" w:styleId="Strong">
    <w:name w:val="Strong"/>
    <w:basedOn w:val="DefaultParagraphFont"/>
    <w:uiPriority w:val="22"/>
    <w:qFormat/>
    <w:rsid w:val="009B5C4A"/>
    <w:rPr>
      <w:b/>
      <w:bCs/>
    </w:rPr>
  </w:style>
  <w:style w:type="character" w:styleId="Hyperlink">
    <w:name w:val="Hyperlink"/>
    <w:basedOn w:val="DefaultParagraphFont"/>
    <w:uiPriority w:val="99"/>
    <w:semiHidden/>
    <w:unhideWhenUsed/>
    <w:rsid w:val="009B5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c24abf06e&amp;e=d19e9fd41c" TargetMode="External"/><Relationship Id="rId13" Type="http://schemas.openxmlformats.org/officeDocument/2006/relationships/hyperlink" Target="https://psnc.us7.list-manage.com/track/click?u=86d41ab7fa4c7c2c5d7210782&amp;id=7582be7250&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261cf7b43&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3831d0a08b&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968ac2f1b&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57a801ba2&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6cfcaf0727&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88ca56cb43&amp;e=d19e9fd41c" TargetMode="External"/><Relationship Id="rId19" Type="http://schemas.openxmlformats.org/officeDocument/2006/relationships/hyperlink" Target="https://psnc.us7.list-manage.com/track/click?u=86d41ab7fa4c7c2c5d7210782&amp;id=0828c4d98f&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ab72e8d115&amp;e=d19e9fd41c" TargetMode="External"/><Relationship Id="rId14" Type="http://schemas.openxmlformats.org/officeDocument/2006/relationships/hyperlink" Target="https://psnc.us7.list-manage.com/track/click?u=86d41ab7fa4c7c2c5d7210782&amp;id=2d2b02ee6e&amp;e=d19e9fd41c" TargetMode="External"/><Relationship Id="rId22" Type="http://schemas.openxmlformats.org/officeDocument/2006/relationships/hyperlink" Target="https://psnc.us7.list-manage.com/track/click?u=86d41ab7fa4c7c2c5d7210782&amp;id=35c7fb73da&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2161a36b7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2022-05-30T09:39:00Z</dcterms:created>
  <dcterms:modified xsi:type="dcterms:W3CDTF">2022-05-30T09:39:00Z</dcterms:modified>
</cp:coreProperties>
</file>