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70"/>
        <w:gridCol w:w="411"/>
        <w:gridCol w:w="715"/>
        <w:gridCol w:w="6946"/>
      </w:tblGrid>
      <w:tr w:rsidR="00AC2ACA" w:rsidRPr="00460CB9" w14:paraId="6BBD6E7F" w14:textId="77777777" w:rsidTr="00785B00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3A9B1D3D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21249C1C" w14:textId="77777777" w:rsidTr="00785B00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D44E6F6" w14:textId="77777777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</w:t>
            </w:r>
            <w:r w:rsidR="00902563">
              <w:rPr>
                <w:szCs w:val="28"/>
              </w:rPr>
              <w:t>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902563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375D49B4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10E14C2B" w14:textId="77777777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</w:t>
            </w:r>
            <w:r w:rsidR="00902563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E33D5EE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15A2C9CE" w14:textId="77777777" w:rsidR="001535B4" w:rsidRPr="00CF09FC" w:rsidRDefault="002B736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785B00" w:rsidRPr="00460CB9" w14:paraId="658FE3B0" w14:textId="77777777" w:rsidTr="00785B00">
        <w:trPr>
          <w:trHeight w:val="575"/>
        </w:trPr>
        <w:tc>
          <w:tcPr>
            <w:tcW w:w="9242" w:type="dxa"/>
            <w:gridSpan w:val="4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485A176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</w:t>
            </w:r>
            <w:r w:rsidR="00902563">
              <w:rPr>
                <w:b/>
                <w:sz w:val="28"/>
                <w:szCs w:val="28"/>
              </w:rPr>
              <w:t xml:space="preserve"> CPSC</w:t>
            </w:r>
          </w:p>
        </w:tc>
      </w:tr>
      <w:tr w:rsidR="00DE7675" w:rsidRPr="00460CB9" w14:paraId="188D820D" w14:textId="77777777" w:rsidTr="00785B00">
        <w:trPr>
          <w:trHeight w:val="584"/>
        </w:trPr>
        <w:tc>
          <w:tcPr>
            <w:tcW w:w="924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  <w:tr2bl w:val="nil"/>
            </w:tcBorders>
            <w:shd w:val="clear" w:color="FF0000" w:fill="FFC000"/>
            <w:vAlign w:val="center"/>
          </w:tcPr>
          <w:tbl>
            <w:tblPr>
              <w:tblStyle w:val="TableGrid"/>
              <w:tblpPr w:leftFromText="180" w:rightFromText="180" w:vertAnchor="text" w:horzAnchor="page" w:tblpX="8525" w:tblpY="-176"/>
              <w:tblOverlap w:val="never"/>
              <w:tblW w:w="2055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5"/>
            </w:tblGrid>
            <w:tr w:rsidR="00C8329F" w14:paraId="224ADEA1" w14:textId="77777777" w:rsidTr="002B736D">
              <w:trPr>
                <w:trHeight w:val="713"/>
              </w:trPr>
              <w:tc>
                <w:tcPr>
                  <w:tcW w:w="2055" w:type="dxa"/>
                  <w:shd w:val="clear" w:color="auto" w:fill="FF0000"/>
                </w:tcPr>
                <w:p w14:paraId="5C1EBD23" w14:textId="77777777" w:rsidR="00C8329F" w:rsidRDefault="00C8329F" w:rsidP="00C8329F">
                  <w:pPr>
                    <w:ind w:right="-248" w:firstLine="22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D4B8415" w14:textId="77777777" w:rsidR="00E8310F" w:rsidRDefault="00651F4F" w:rsidP="00C8329F">
            <w:pPr>
              <w:ind w:left="720" w:right="6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Concordance; Level 3, Portsmouth</w:t>
            </w:r>
            <w:r w:rsidR="005859B7">
              <w:rPr>
                <w:b/>
                <w:sz w:val="28"/>
                <w:szCs w:val="28"/>
              </w:rPr>
              <w:t xml:space="preserve"> CCG</w:t>
            </w:r>
          </w:p>
          <w:p w14:paraId="4516D8F1" w14:textId="77777777" w:rsidR="002B736D" w:rsidRDefault="002B736D" w:rsidP="00C8329F">
            <w:pPr>
              <w:ind w:left="720" w:right="69"/>
              <w:jc w:val="right"/>
              <w:rPr>
                <w:b/>
                <w:sz w:val="28"/>
                <w:szCs w:val="28"/>
              </w:rPr>
            </w:pPr>
          </w:p>
        </w:tc>
      </w:tr>
      <w:tr w:rsidR="00E12F94" w:rsidRPr="00460CB9" w14:paraId="42470F79" w14:textId="77777777" w:rsidTr="00F76281">
        <w:trPr>
          <w:trHeight w:val="2279"/>
        </w:trPr>
        <w:tc>
          <w:tcPr>
            <w:tcW w:w="9242" w:type="dxa"/>
            <w:gridSpan w:val="4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07C2E0CD" w14:textId="77777777" w:rsidR="00FE6523" w:rsidRDefault="00902563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285C4B">
              <w:rPr>
                <w:szCs w:val="28"/>
              </w:rPr>
              <w:t>ecification as Red/Amber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5A36D52A" w14:textId="77777777" w:rsidR="005A003A" w:rsidRDefault="005A003A" w:rsidP="00A605A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Adoption of the new NHS Short Form contract would be beneficial to contractors.</w:t>
            </w:r>
          </w:p>
          <w:p w14:paraId="049C8B0C" w14:textId="77777777" w:rsidR="005A003A" w:rsidRDefault="005A003A" w:rsidP="00A605A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Consultation on any proposed CCG audit or assessment of service would be good to ensure proportionate in time taken to complete/volume/complexity to service.</w:t>
            </w:r>
          </w:p>
          <w:p w14:paraId="048EF639" w14:textId="77777777" w:rsidR="00F76281" w:rsidRPr="005A003A" w:rsidRDefault="00F76281" w:rsidP="00A605A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Further details on time scales required to achieve for home visit attendance.</w:t>
            </w:r>
          </w:p>
          <w:p w14:paraId="7B889848" w14:textId="77777777" w:rsidR="00A605A5" w:rsidRPr="00F76281" w:rsidRDefault="00751EB5" w:rsidP="00F76281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Further clarification on referral pathway and mechanism, patient consent and records.</w:t>
            </w:r>
          </w:p>
        </w:tc>
      </w:tr>
      <w:tr w:rsidR="00AC2ACA" w:rsidRPr="00460CB9" w14:paraId="3D1F75B7" w14:textId="77777777" w:rsidTr="00785B00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3B295E9D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902563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1474E427" w14:textId="77777777" w:rsidTr="00785B00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AF3CEA9" w14:textId="77777777" w:rsidR="00CF09FC" w:rsidRDefault="00902563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</w:t>
            </w:r>
            <w:r w:rsidR="00E17B31">
              <w:t xml:space="preserve">in </w:t>
            </w:r>
            <w:r w:rsidR="00E17B31" w:rsidRPr="00CF09FC">
              <w:rPr>
                <w:b/>
              </w:rPr>
              <w:t>10 days’ tim</w:t>
            </w:r>
            <w:r w:rsidR="00E17B31">
              <w:rPr>
                <w:b/>
              </w:rPr>
              <w:t>e.</w:t>
            </w:r>
          </w:p>
          <w:p w14:paraId="764C19C9" w14:textId="77777777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0861F8A" w14:textId="77777777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</w:t>
            </w:r>
            <w:r w:rsidR="00902563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2893BAA4" w14:textId="77777777" w:rsidTr="00785B00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636158AC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to </w:t>
            </w:r>
            <w:r w:rsidR="00902563">
              <w:rPr>
                <w:b/>
                <w:sz w:val="28"/>
                <w:szCs w:val="28"/>
              </w:rPr>
              <w:t>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7504738E" w14:textId="77777777" w:rsidTr="00785B00">
        <w:trPr>
          <w:trHeight w:val="2042"/>
        </w:trPr>
        <w:tc>
          <w:tcPr>
            <w:tcW w:w="9242" w:type="dxa"/>
            <w:gridSpan w:val="4"/>
            <w:shd w:val="clear" w:color="auto" w:fill="auto"/>
          </w:tcPr>
          <w:p w14:paraId="466BFE98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812DEF7" w14:textId="77777777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902563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47008A17" w14:textId="77777777" w:rsidR="001E169D" w:rsidRDefault="001E169D" w:rsidP="00DA6A3F">
            <w:pPr>
              <w:rPr>
                <w:color w:val="FF0000"/>
                <w:szCs w:val="28"/>
              </w:rPr>
            </w:pPr>
          </w:p>
          <w:p w14:paraId="7ABE5E75" w14:textId="77777777" w:rsidR="001E169D" w:rsidRDefault="001E169D" w:rsidP="00DA6A3F">
            <w:pPr>
              <w:rPr>
                <w:szCs w:val="28"/>
              </w:rPr>
            </w:pPr>
            <w:r>
              <w:rPr>
                <w:szCs w:val="28"/>
              </w:rPr>
              <w:t xml:space="preserve">Previous comments below still stand. </w:t>
            </w:r>
          </w:p>
          <w:p w14:paraId="743AA0FE" w14:textId="77777777" w:rsidR="001E169D" w:rsidRDefault="001E169D" w:rsidP="00DA6A3F">
            <w:pPr>
              <w:rPr>
                <w:szCs w:val="28"/>
              </w:rPr>
            </w:pPr>
            <w:r>
              <w:rPr>
                <w:szCs w:val="28"/>
              </w:rPr>
              <w:t xml:space="preserve">Fees will remain static across all levels of the service; Device filling aids have been supplied to Pharmacies that requested them. </w:t>
            </w:r>
          </w:p>
          <w:p w14:paraId="083F1F19" w14:textId="77777777" w:rsidR="001E169D" w:rsidRDefault="001E169D" w:rsidP="00DA6A3F">
            <w:pPr>
              <w:rPr>
                <w:szCs w:val="28"/>
              </w:rPr>
            </w:pPr>
            <w:r>
              <w:rPr>
                <w:szCs w:val="28"/>
              </w:rPr>
              <w:t>Happy to consult with CPSC when designing audit or evaluation of the service and will adjust wording of specification to indicate this.</w:t>
            </w:r>
          </w:p>
          <w:p w14:paraId="7898A811" w14:textId="77777777" w:rsidR="008F423B" w:rsidRPr="001E169D" w:rsidRDefault="008F423B" w:rsidP="00DA6A3F">
            <w:pPr>
              <w:rPr>
                <w:szCs w:val="28"/>
              </w:rPr>
            </w:pPr>
            <w:r>
              <w:rPr>
                <w:szCs w:val="28"/>
              </w:rPr>
              <w:t>Timescales for visit dictated by professional discretion. Current contractors will be aware how urgent a response should be depending on information supplied by the patient about what type of problem they want solved. MAH team available as per point 3 below. (MAH = ICP)</w:t>
            </w:r>
          </w:p>
          <w:p w14:paraId="137497E7" w14:textId="77777777" w:rsidR="00A86F40" w:rsidRDefault="001E169D" w:rsidP="00DA6A3F">
            <w:pPr>
              <w:rPr>
                <w:szCs w:val="28"/>
              </w:rPr>
            </w:pPr>
            <w:r>
              <w:rPr>
                <w:szCs w:val="28"/>
              </w:rPr>
              <w:t>Method of recording onward referral at professional discretion of the pharmacist and likely dependant on where referred.</w:t>
            </w:r>
          </w:p>
          <w:p w14:paraId="7AF438FA" w14:textId="77777777" w:rsidR="001E169D" w:rsidRDefault="001E169D" w:rsidP="00DA6A3F">
            <w:pPr>
              <w:rPr>
                <w:szCs w:val="28"/>
              </w:rPr>
            </w:pPr>
          </w:p>
          <w:p w14:paraId="063ADAA4" w14:textId="77777777" w:rsidR="00A13FF0" w:rsidRDefault="00F76281" w:rsidP="00DA6A3F">
            <w:pPr>
              <w:rPr>
                <w:szCs w:val="28"/>
              </w:rPr>
            </w:pPr>
            <w:r>
              <w:rPr>
                <w:szCs w:val="28"/>
              </w:rPr>
              <w:t>CCG</w:t>
            </w:r>
            <w:r w:rsidR="00A13FF0">
              <w:rPr>
                <w:szCs w:val="28"/>
              </w:rPr>
              <w:t xml:space="preserve"> previously commented</w:t>
            </w:r>
            <w:r>
              <w:rPr>
                <w:szCs w:val="28"/>
              </w:rPr>
              <w:t xml:space="preserve"> at last time of commissioning</w:t>
            </w:r>
            <w:r w:rsidR="00A13FF0">
              <w:rPr>
                <w:szCs w:val="28"/>
              </w:rPr>
              <w:t xml:space="preserve"> that:</w:t>
            </w:r>
          </w:p>
          <w:p w14:paraId="1AE276F5" w14:textId="77777777" w:rsidR="00A86F40" w:rsidRPr="00A13FF0" w:rsidRDefault="00A86F40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>Short form NHS Contract will be used.</w:t>
            </w:r>
          </w:p>
          <w:p w14:paraId="7CFA6360" w14:textId="77777777" w:rsidR="00A13FF0" w:rsidRPr="00A13FF0" w:rsidRDefault="00A13FF0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>Equipment will be provided, owned and maintained by ICPT. The exception is that we will ask pharmacies to replace batteries in Pivotell every 6 months.</w:t>
            </w:r>
          </w:p>
          <w:p w14:paraId="2CC359EE" w14:textId="77777777" w:rsidR="00A13FF0" w:rsidRDefault="00A605A5" w:rsidP="00A13FF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605A5">
              <w:rPr>
                <w:szCs w:val="28"/>
              </w:rPr>
              <w:t>Time frame will be mutually agreed with pharmacy and ICPT- the fall back being if the pharmacy can’t cope with a home visit then ICPT will pick this up.</w:t>
            </w:r>
          </w:p>
          <w:p w14:paraId="5D5DC345" w14:textId="77777777" w:rsidR="00F76281" w:rsidRPr="00642474" w:rsidRDefault="00F76281" w:rsidP="00A13FF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>Patient consent for service will be captured by ICPT and retained for their records in line with Solent IG policy.</w:t>
            </w:r>
          </w:p>
          <w:p w14:paraId="711916AA" w14:textId="77777777" w:rsidR="00A86F40" w:rsidRPr="00A13FF0" w:rsidRDefault="00A86F40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>Referrals to other health care professionals would</w:t>
            </w:r>
            <w:r w:rsidR="000E6A25" w:rsidRPr="00A13FF0">
              <w:rPr>
                <w:szCs w:val="28"/>
              </w:rPr>
              <w:t xml:space="preserve"> have to be made by phone / nhs.</w:t>
            </w:r>
            <w:r w:rsidRPr="00A13FF0">
              <w:rPr>
                <w:szCs w:val="28"/>
              </w:rPr>
              <w:t xml:space="preserve">net or secure fax. This can be kept under review and dealt with at contractors meeting. I am assuming that most professional discussion would be with ICPT </w:t>
            </w:r>
            <w:r w:rsidR="000E6A25" w:rsidRPr="00A13FF0">
              <w:rPr>
                <w:szCs w:val="28"/>
              </w:rPr>
              <w:t>and team</w:t>
            </w:r>
            <w:r w:rsidRPr="00A13FF0">
              <w:rPr>
                <w:szCs w:val="28"/>
              </w:rPr>
              <w:t xml:space="preserve"> members are very willing to come out to participating pharmacies and </w:t>
            </w:r>
            <w:r w:rsidR="000E6A25" w:rsidRPr="00A13FF0">
              <w:rPr>
                <w:szCs w:val="28"/>
              </w:rPr>
              <w:t>provide support</w:t>
            </w:r>
            <w:r w:rsidRPr="00A13FF0">
              <w:rPr>
                <w:szCs w:val="28"/>
              </w:rPr>
              <w:t xml:space="preserve"> and advice.</w:t>
            </w:r>
          </w:p>
          <w:p w14:paraId="6A876779" w14:textId="77777777" w:rsidR="00A86F40" w:rsidRPr="00A13FF0" w:rsidRDefault="00C0530F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>Additionally</w:t>
            </w:r>
            <w:r w:rsidR="00A13FF0" w:rsidRPr="00A13FF0">
              <w:rPr>
                <w:szCs w:val="28"/>
              </w:rPr>
              <w:t>,</w:t>
            </w:r>
            <w:r w:rsidRPr="00A13FF0">
              <w:rPr>
                <w:szCs w:val="28"/>
              </w:rPr>
              <w:t xml:space="preserve"> since consulting further with contractors we will advise pharmacies to provide a printed MAR chart each month. Patient will be trained to take this into hospital, weekend pharmacy etc to provide complete list of their current medication when required by health professional.</w:t>
            </w:r>
          </w:p>
          <w:p w14:paraId="67998690" w14:textId="77777777" w:rsidR="00C0530F" w:rsidRPr="00A13FF0" w:rsidRDefault="00C0530F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 xml:space="preserve">Clarify that delivery drivers are </w:t>
            </w:r>
            <w:r w:rsidR="000E6A25" w:rsidRPr="00A13FF0">
              <w:rPr>
                <w:szCs w:val="28"/>
              </w:rPr>
              <w:t>only required</w:t>
            </w:r>
            <w:r w:rsidRPr="00A13FF0">
              <w:rPr>
                <w:szCs w:val="28"/>
              </w:rPr>
              <w:t xml:space="preserve"> to deliver/collect </w:t>
            </w:r>
            <w:r w:rsidR="000E6A25" w:rsidRPr="00A13FF0">
              <w:rPr>
                <w:szCs w:val="28"/>
              </w:rPr>
              <w:t>devices and</w:t>
            </w:r>
            <w:r w:rsidRPr="00A13FF0">
              <w:rPr>
                <w:szCs w:val="28"/>
              </w:rPr>
              <w:t xml:space="preserve"> are not to be involved in setting up </w:t>
            </w:r>
            <w:r w:rsidR="000E6A25" w:rsidRPr="00A13FF0">
              <w:rPr>
                <w:szCs w:val="28"/>
              </w:rPr>
              <w:t>devices,</w:t>
            </w:r>
            <w:r w:rsidRPr="00A13FF0">
              <w:rPr>
                <w:szCs w:val="28"/>
              </w:rPr>
              <w:t xml:space="preserve"> setting timers, changing batteries etc.</w:t>
            </w:r>
          </w:p>
          <w:p w14:paraId="07CC3AF3" w14:textId="77777777" w:rsidR="00C0530F" w:rsidRPr="00A13FF0" w:rsidRDefault="00C0530F" w:rsidP="00A605A5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A13FF0">
              <w:rPr>
                <w:szCs w:val="28"/>
              </w:rPr>
              <w:t xml:space="preserve">I appreciate LPC and </w:t>
            </w:r>
            <w:r w:rsidR="000E6A25" w:rsidRPr="00A13FF0">
              <w:rPr>
                <w:szCs w:val="28"/>
              </w:rPr>
              <w:t>contractor’s</w:t>
            </w:r>
            <w:r w:rsidRPr="00A13FF0">
              <w:rPr>
                <w:szCs w:val="28"/>
              </w:rPr>
              <w:t xml:space="preserve"> tolerance and willingness to engage in this relatively small </w:t>
            </w:r>
            <w:r w:rsidR="000E6A25" w:rsidRPr="00A13FF0">
              <w:rPr>
                <w:szCs w:val="28"/>
              </w:rPr>
              <w:t xml:space="preserve">service that will only support </w:t>
            </w:r>
            <w:r w:rsidRPr="00A13FF0">
              <w:rPr>
                <w:szCs w:val="28"/>
              </w:rPr>
              <w:t>55 patients. The specification is not firmly detailed as we expect the service to evolve ad we all learn together on how to provide this innovative service.</w:t>
            </w:r>
          </w:p>
          <w:p w14:paraId="40FE40B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785B00" w:rsidRPr="00460CB9" w14:paraId="3FB0F387" w14:textId="77777777" w:rsidTr="005D3FBF">
        <w:trPr>
          <w:trHeight w:val="284"/>
        </w:trPr>
        <w:tc>
          <w:tcPr>
            <w:tcW w:w="2225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6D203B3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70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1E4C046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560772" w14:paraId="36F09F87" w14:textId="77777777" w:rsidTr="005D3FBF">
        <w:trPr>
          <w:trHeight w:val="567"/>
        </w:trPr>
        <w:tc>
          <w:tcPr>
            <w:tcW w:w="1356" w:type="dxa"/>
            <w:gridSpan w:val="2"/>
            <w:tcBorders>
              <w:right w:val="nil"/>
            </w:tcBorders>
          </w:tcPr>
          <w:p w14:paraId="027B616F" w14:textId="77777777" w:rsidR="00AC2ACA" w:rsidRDefault="00AC2ACA"/>
        </w:tc>
        <w:tc>
          <w:tcPr>
            <w:tcW w:w="7886" w:type="dxa"/>
            <w:gridSpan w:val="2"/>
            <w:tcBorders>
              <w:left w:val="nil"/>
            </w:tcBorders>
            <w:vAlign w:val="center"/>
          </w:tcPr>
          <w:p w14:paraId="52558C35" w14:textId="77777777" w:rsidR="00AC2ACA" w:rsidRPr="0053198F" w:rsidRDefault="0090256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785B00" w14:paraId="35889706" w14:textId="77777777" w:rsidTr="005D3FBF">
        <w:trPr>
          <w:trHeight w:val="454"/>
        </w:trPr>
        <w:tc>
          <w:tcPr>
            <w:tcW w:w="2225" w:type="dxa"/>
            <w:gridSpan w:val="3"/>
            <w:vAlign w:val="center"/>
          </w:tcPr>
          <w:p w14:paraId="4824D975" w14:textId="77777777" w:rsidR="00AC2ACA" w:rsidRDefault="00902563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48B7280F" w14:textId="77777777" w:rsidR="00AC2ACA" w:rsidRDefault="00B511A9">
            <w:r>
              <w:t>Yes</w:t>
            </w:r>
          </w:p>
        </w:tc>
      </w:tr>
      <w:tr w:rsidR="00DE7675" w14:paraId="44014644" w14:textId="77777777" w:rsidTr="005D3FBF">
        <w:trPr>
          <w:trHeight w:val="881"/>
        </w:trPr>
        <w:tc>
          <w:tcPr>
            <w:tcW w:w="2225" w:type="dxa"/>
            <w:gridSpan w:val="3"/>
            <w:vAlign w:val="center"/>
          </w:tcPr>
          <w:p w14:paraId="54169745" w14:textId="77777777" w:rsidR="00AC2ACA" w:rsidRDefault="00902563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7017" w:type="dxa"/>
            <w:shd w:val="clear" w:color="auto" w:fill="00B050"/>
          </w:tcPr>
          <w:p w14:paraId="01B626F5" w14:textId="77777777" w:rsidR="00AC2ACA" w:rsidRDefault="00B511A9" w:rsidP="00B33F77">
            <w:r>
              <w:t>Yes</w:t>
            </w:r>
          </w:p>
        </w:tc>
      </w:tr>
      <w:tr w:rsidR="00560772" w14:paraId="52008B9C" w14:textId="77777777" w:rsidTr="005D3FBF">
        <w:trPr>
          <w:trHeight w:val="611"/>
        </w:trPr>
        <w:tc>
          <w:tcPr>
            <w:tcW w:w="1356" w:type="dxa"/>
            <w:gridSpan w:val="2"/>
            <w:tcBorders>
              <w:right w:val="nil"/>
            </w:tcBorders>
          </w:tcPr>
          <w:p w14:paraId="7FF1808F" w14:textId="77777777" w:rsidR="00AC2ACA" w:rsidRDefault="00AC2ACA"/>
        </w:tc>
        <w:tc>
          <w:tcPr>
            <w:tcW w:w="7886" w:type="dxa"/>
            <w:gridSpan w:val="2"/>
            <w:tcBorders>
              <w:left w:val="nil"/>
            </w:tcBorders>
            <w:vAlign w:val="center"/>
          </w:tcPr>
          <w:p w14:paraId="6EDDE755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785B00" w14:paraId="60E6FCE5" w14:textId="77777777" w:rsidTr="005D3FBF">
        <w:trPr>
          <w:trHeight w:val="1975"/>
        </w:trPr>
        <w:tc>
          <w:tcPr>
            <w:tcW w:w="2225" w:type="dxa"/>
            <w:gridSpan w:val="3"/>
            <w:vAlign w:val="center"/>
          </w:tcPr>
          <w:p w14:paraId="79F8B084" w14:textId="77777777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5498B7C8" w14:textId="77777777" w:rsidR="004A07C8" w:rsidRDefault="00D77664">
            <w:r>
              <w:t>Initial</w:t>
            </w:r>
            <w:r w:rsidR="004A07C8">
              <w:t xml:space="preserve"> f</w:t>
            </w:r>
            <w:r w:rsidR="00AA0A59">
              <w:t xml:space="preserve">ee to cover </w:t>
            </w:r>
            <w:r>
              <w:t>contract work</w:t>
            </w:r>
            <w:r w:rsidR="00751EB5">
              <w:t>load</w:t>
            </w:r>
            <w:r>
              <w:t xml:space="preserve">, </w:t>
            </w:r>
            <w:r w:rsidR="007848C5">
              <w:t>engagement</w:t>
            </w:r>
            <w:r w:rsidR="00AA0A59">
              <w:t xml:space="preserve"> and t</w:t>
            </w:r>
            <w:r w:rsidR="007848C5">
              <w:t>raining of staff</w:t>
            </w:r>
            <w:r w:rsidR="004A07C8">
              <w:t>.</w:t>
            </w:r>
          </w:p>
          <w:p w14:paraId="01CF4901" w14:textId="77777777" w:rsidR="00AA0A59" w:rsidRDefault="00AA0A59">
            <w:r>
              <w:t>Monthly fees proposed to cover operational workload.</w:t>
            </w:r>
          </w:p>
          <w:p w14:paraId="08305A92" w14:textId="77777777" w:rsidR="00AA0A59" w:rsidRDefault="00AA0A59">
            <w:r>
              <w:t>Ad hoc authorised home visit fees proposed.</w:t>
            </w:r>
          </w:p>
          <w:p w14:paraId="420F5727" w14:textId="77777777" w:rsidR="00AA0A59" w:rsidRDefault="00AA0A59">
            <w:r>
              <w:t>B</w:t>
            </w:r>
            <w:r w:rsidR="00B511A9">
              <w:t xml:space="preserve">ackfill </w:t>
            </w:r>
            <w:r>
              <w:t>fees available for training</w:t>
            </w:r>
            <w:r w:rsidR="00451FED">
              <w:t>.</w:t>
            </w:r>
          </w:p>
          <w:p w14:paraId="618F41E8" w14:textId="77777777" w:rsidR="00451FED" w:rsidRDefault="00AA0A59">
            <w:r>
              <w:t>DBS costs covered f</w:t>
            </w:r>
            <w:r w:rsidR="00451FED">
              <w:t>or up to 4 staff over duration of service</w:t>
            </w:r>
            <w:r>
              <w:t>.</w:t>
            </w:r>
          </w:p>
          <w:p w14:paraId="4FE04E87" w14:textId="77777777" w:rsidR="00AC2ACA" w:rsidRDefault="00AA0A59">
            <w:r>
              <w:t>Cost of equipment &amp; consumables i</w:t>
            </w:r>
            <w:r w:rsidR="00451FED">
              <w:t>s the responsibility of the CCG</w:t>
            </w:r>
            <w:r w:rsidR="00B511A9">
              <w:t>.</w:t>
            </w:r>
          </w:p>
          <w:p w14:paraId="6B316470" w14:textId="77777777" w:rsidR="00652E6C" w:rsidRDefault="00652E6C">
            <w:r>
              <w:t>MUR completion expected within first 3 months (NHS England)</w:t>
            </w:r>
            <w:r w:rsidR="000A3E3A">
              <w:t>.</w:t>
            </w:r>
          </w:p>
        </w:tc>
      </w:tr>
      <w:tr w:rsidR="002B736D" w14:paraId="10EF8B09" w14:textId="77777777" w:rsidTr="005D3FBF">
        <w:trPr>
          <w:trHeight w:val="1536"/>
        </w:trPr>
        <w:tc>
          <w:tcPr>
            <w:tcW w:w="2225" w:type="dxa"/>
            <w:gridSpan w:val="3"/>
            <w:vAlign w:val="center"/>
          </w:tcPr>
          <w:p w14:paraId="1880BFBA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1E47F094" w14:textId="77777777" w:rsidR="00AC2ACA" w:rsidRDefault="005F25A9">
            <w:r>
              <w:t>Yes, PharmOutcomes.</w:t>
            </w:r>
          </w:p>
          <w:p w14:paraId="48E52579" w14:textId="77777777" w:rsidR="00697410" w:rsidRDefault="000D51A7" w:rsidP="00E80147">
            <w:r>
              <w:t>Automated claims</w:t>
            </w:r>
            <w:r w:rsidR="0041049D">
              <w:t xml:space="preserve">, </w:t>
            </w:r>
            <w:r w:rsidR="00E80147">
              <w:t>on a calendar monthly</w:t>
            </w:r>
            <w:r w:rsidR="0041049D">
              <w:t xml:space="preserve"> payment </w:t>
            </w:r>
            <w:r w:rsidR="00E80147">
              <w:t>basis.</w:t>
            </w:r>
          </w:p>
          <w:p w14:paraId="19DB6648" w14:textId="77777777" w:rsidR="00652E6C" w:rsidRDefault="00652E6C" w:rsidP="0041049D">
            <w:r w:rsidRPr="002B736D">
              <w:t>MUR payment</w:t>
            </w:r>
            <w:r w:rsidR="001E2915" w:rsidRPr="002B736D">
              <w:t xml:space="preserve"> (NHS England)</w:t>
            </w:r>
            <w:r w:rsidRPr="002B736D">
              <w:t xml:space="preserve"> via NHS BSA end of month process</w:t>
            </w:r>
            <w:r w:rsidR="000A3E3A" w:rsidRPr="002B736D">
              <w:t>.</w:t>
            </w:r>
          </w:p>
        </w:tc>
      </w:tr>
      <w:tr w:rsidR="00785B00" w14:paraId="3C951ABB" w14:textId="77777777" w:rsidTr="005D3FBF">
        <w:trPr>
          <w:trHeight w:val="1841"/>
        </w:trPr>
        <w:tc>
          <w:tcPr>
            <w:tcW w:w="2225" w:type="dxa"/>
            <w:gridSpan w:val="3"/>
            <w:vAlign w:val="center"/>
          </w:tcPr>
          <w:p w14:paraId="50B5988F" w14:textId="77777777" w:rsidR="00AC2ACA" w:rsidRDefault="00AC2ACA" w:rsidP="0053198F">
            <w:r>
              <w:lastRenderedPageBreak/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61AA79F1" w14:textId="77777777" w:rsidR="00451FED" w:rsidRDefault="006365AF" w:rsidP="00E92405">
            <w:r>
              <w:t>Contractor supports with advice, education and compliance aid (necessary equipment</w:t>
            </w:r>
            <w:r w:rsidR="004A07C8">
              <w:t xml:space="preserve">, </w:t>
            </w:r>
            <w:r>
              <w:t xml:space="preserve">which the </w:t>
            </w:r>
            <w:r w:rsidR="00451FED">
              <w:t>CCG provide</w:t>
            </w:r>
            <w:r>
              <w:t>s</w:t>
            </w:r>
            <w:r w:rsidR="004A07C8">
              <w:t>)</w:t>
            </w:r>
            <w:r w:rsidR="00451FED">
              <w:t>.</w:t>
            </w:r>
          </w:p>
          <w:p w14:paraId="64150424" w14:textId="77777777" w:rsidR="00451FED" w:rsidRDefault="00E92405" w:rsidP="00643981">
            <w:r>
              <w:t>MAH service</w:t>
            </w:r>
            <w:r w:rsidR="00A605A5">
              <w:t xml:space="preserve"> team </w:t>
            </w:r>
            <w:r w:rsidR="00451FED">
              <w:t>calibrates &amp; services the equipment</w:t>
            </w:r>
            <w:r w:rsidR="00A605A5">
              <w:t xml:space="preserve"> (pharmacies to change batteries every 6 months)</w:t>
            </w:r>
          </w:p>
          <w:p w14:paraId="154CC102" w14:textId="77777777" w:rsidR="00AC2ACA" w:rsidRDefault="00451FED" w:rsidP="00E92405">
            <w:r>
              <w:t xml:space="preserve">Use </w:t>
            </w:r>
            <w:r w:rsidR="00B511A9">
              <w:t>of PharmOutcomes 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785B00" w14:paraId="6D597D13" w14:textId="77777777" w:rsidTr="005D3FBF">
        <w:trPr>
          <w:trHeight w:val="1269"/>
        </w:trPr>
        <w:tc>
          <w:tcPr>
            <w:tcW w:w="2225" w:type="dxa"/>
            <w:gridSpan w:val="3"/>
            <w:vAlign w:val="center"/>
          </w:tcPr>
          <w:p w14:paraId="3F2F49D5" w14:textId="77777777" w:rsidR="00674853" w:rsidRDefault="00674853" w:rsidP="0053198F">
            <w:r>
              <w:t>Is remuneration fair?</w:t>
            </w:r>
          </w:p>
        </w:tc>
        <w:tc>
          <w:tcPr>
            <w:tcW w:w="7017" w:type="dxa"/>
            <w:shd w:val="clear" w:color="auto" w:fill="00B050"/>
          </w:tcPr>
          <w:p w14:paraId="14303850" w14:textId="37BE5CBB" w:rsidR="00451FED" w:rsidRDefault="005373E1" w:rsidP="002C71D4">
            <w:r>
              <w:rPr>
                <w:u w:val="single"/>
              </w:rPr>
              <w:t xml:space="preserve">- </w:t>
            </w:r>
            <w:r w:rsidR="007848C5">
              <w:rPr>
                <w:u w:val="single"/>
              </w:rPr>
              <w:t>Start</w:t>
            </w:r>
            <w:r w:rsidR="004A07C8">
              <w:rPr>
                <w:u w:val="single"/>
              </w:rPr>
              <w:t>-up</w:t>
            </w:r>
            <w:r w:rsidR="00451FED" w:rsidRPr="004B1453">
              <w:rPr>
                <w:u w:val="single"/>
              </w:rPr>
              <w:t xml:space="preserve"> fee</w:t>
            </w:r>
            <w:r w:rsidR="00451FED">
              <w:t xml:space="preserve">: </w:t>
            </w:r>
          </w:p>
          <w:p w14:paraId="18ED16ED" w14:textId="77777777" w:rsidR="00390DE3" w:rsidRDefault="00451FED" w:rsidP="00451FED">
            <w:r>
              <w:t xml:space="preserve">This </w:t>
            </w:r>
            <w:r w:rsidR="00E80147">
              <w:t>allows for</w:t>
            </w:r>
            <w:r>
              <w:t xml:space="preserve"> assessment, time taken to agree SOP’s and participation liability/legality.</w:t>
            </w:r>
          </w:p>
          <w:p w14:paraId="5A954EF9" w14:textId="775522D1" w:rsidR="00451FED" w:rsidRDefault="005373E1" w:rsidP="002C71D4">
            <w:pPr>
              <w:shd w:val="clear" w:color="auto" w:fill="FFC000"/>
            </w:pPr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451FED" w:rsidRPr="005373E1">
              <w:rPr>
                <w:u w:val="single"/>
              </w:rPr>
              <w:t>Monthly fee (for 1, 2</w:t>
            </w:r>
            <w:r w:rsidR="00390DE3">
              <w:rPr>
                <w:u w:val="single"/>
              </w:rPr>
              <w:t xml:space="preserve"> </w:t>
            </w:r>
            <w:r w:rsidR="00451FED" w:rsidRPr="005373E1">
              <w:rPr>
                <w:u w:val="single"/>
              </w:rPr>
              <w:t>or 4 devices in use)</w:t>
            </w:r>
            <w:r w:rsidR="00451FED">
              <w:t>:</w:t>
            </w:r>
          </w:p>
          <w:p w14:paraId="2D038E3C" w14:textId="524286B5" w:rsidR="00390DE3" w:rsidRDefault="005373E1" w:rsidP="00560772">
            <w:pPr>
              <w:shd w:val="clear" w:color="auto" w:fill="FFC000"/>
            </w:pPr>
            <w:r>
              <w:t>Pharmacies need to evaluate increase in time required versus the</w:t>
            </w:r>
            <w:r w:rsidR="004B1453">
              <w:t xml:space="preserve"> Level 2 service</w:t>
            </w:r>
            <w:r w:rsidR="008574E7">
              <w:t>. Current u</w:t>
            </w:r>
            <w:r>
              <w:t xml:space="preserve">plift </w:t>
            </w:r>
            <w:r w:rsidR="008574E7">
              <w:t>proposed</w:t>
            </w:r>
            <w:r>
              <w:t xml:space="preserve"> </w:t>
            </w:r>
            <w:r w:rsidR="008574E7">
              <w:t xml:space="preserve">is </w:t>
            </w:r>
            <w:r>
              <w:t>66%</w:t>
            </w:r>
          </w:p>
          <w:p w14:paraId="7C745D39" w14:textId="77777777" w:rsidR="004B1453" w:rsidRDefault="005373E1" w:rsidP="002C71D4"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4B1453" w:rsidRPr="005373E1">
              <w:rPr>
                <w:u w:val="single"/>
              </w:rPr>
              <w:t>Home visit fees</w:t>
            </w:r>
            <w:r w:rsidR="004B1453">
              <w:t>:</w:t>
            </w:r>
          </w:p>
          <w:p w14:paraId="17295436" w14:textId="34AA1242" w:rsidR="00785B00" w:rsidRDefault="004B1453" w:rsidP="002C71D4">
            <w:r>
              <w:t>Yes</w:t>
            </w:r>
            <w:r w:rsidR="00390DE3">
              <w:t xml:space="preserve">, (pharmacist / </w:t>
            </w:r>
            <w:r w:rsidR="00435506">
              <w:t>technician)</w:t>
            </w:r>
            <w:r w:rsidR="00390DE3">
              <w:t xml:space="preserve"> per requested and MAH service authorised visit</w:t>
            </w:r>
            <w:r w:rsidR="00435506">
              <w:t>s only. Visits a minimum of 1 hour</w:t>
            </w:r>
            <w:r w:rsidR="00751EB5">
              <w:t>, probably twice a year on average.</w:t>
            </w:r>
          </w:p>
          <w:p w14:paraId="279062E0" w14:textId="77777777" w:rsidR="004B1453" w:rsidRDefault="005373E1" w:rsidP="002C71D4"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4B1453" w:rsidRPr="005373E1">
              <w:rPr>
                <w:u w:val="single"/>
              </w:rPr>
              <w:t>Backfill fees</w:t>
            </w:r>
            <w:r w:rsidR="004B1453">
              <w:t>:</w:t>
            </w:r>
          </w:p>
          <w:p w14:paraId="692DFB3F" w14:textId="74708404" w:rsidR="00785B00" w:rsidRDefault="004B1453" w:rsidP="002C71D4">
            <w:r>
              <w:t>Yes</w:t>
            </w:r>
            <w:r w:rsidR="00435506">
              <w:t>, daytime training workshops half a day (pharmacist / technician)</w:t>
            </w:r>
          </w:p>
          <w:p w14:paraId="240C91DB" w14:textId="77777777" w:rsidR="004B1453" w:rsidRDefault="005373E1" w:rsidP="002C71D4"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4B1453" w:rsidRPr="005373E1">
              <w:rPr>
                <w:u w:val="single"/>
              </w:rPr>
              <w:t>DBS fees covered (max 4 staff)</w:t>
            </w:r>
            <w:r w:rsidR="004B1453">
              <w:t>:</w:t>
            </w:r>
          </w:p>
          <w:p w14:paraId="11443C9A" w14:textId="77777777" w:rsidR="00785B00" w:rsidRDefault="004B1453" w:rsidP="002C71D4">
            <w:r>
              <w:t>Yes</w:t>
            </w:r>
          </w:p>
          <w:p w14:paraId="01D5A2B6" w14:textId="77777777" w:rsidR="00652E6C" w:rsidRDefault="005373E1" w:rsidP="002C71D4"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652E6C" w:rsidRPr="005373E1">
              <w:rPr>
                <w:u w:val="single"/>
              </w:rPr>
              <w:t>MUR’s</w:t>
            </w:r>
            <w:r w:rsidR="000A3E3A" w:rsidRPr="005373E1">
              <w:rPr>
                <w:u w:val="single"/>
              </w:rPr>
              <w:t xml:space="preserve"> completed on site</w:t>
            </w:r>
            <w:r w:rsidR="000A3E3A">
              <w:t>:</w:t>
            </w:r>
          </w:p>
          <w:p w14:paraId="7BCFCD85" w14:textId="3781BDB3" w:rsidR="00785B00" w:rsidRDefault="000A3E3A" w:rsidP="002C71D4">
            <w:r>
              <w:t>Yes</w:t>
            </w:r>
            <w:r w:rsidR="00435506">
              <w:t>, via NHS England Advanced Service process as usual and performed during coordinated CCG remunerated Home visit</w:t>
            </w:r>
          </w:p>
          <w:p w14:paraId="6E0C6A5E" w14:textId="17BB2CF7" w:rsidR="000A3E3A" w:rsidRPr="004B1453" w:rsidRDefault="00435506" w:rsidP="002C71D4">
            <w:r>
              <w:t xml:space="preserve">Apply to NHS England -South (Wessex) on PREM 2 </w:t>
            </w:r>
            <w:bookmarkStart w:id="0" w:name="_GoBack"/>
            <w:bookmarkEnd w:id="0"/>
          </w:p>
        </w:tc>
      </w:tr>
      <w:tr w:rsidR="00560772" w14:paraId="7FE8C54F" w14:textId="77777777" w:rsidTr="005D3FBF">
        <w:trPr>
          <w:trHeight w:val="567"/>
        </w:trPr>
        <w:tc>
          <w:tcPr>
            <w:tcW w:w="948" w:type="dxa"/>
            <w:tcBorders>
              <w:right w:val="nil"/>
            </w:tcBorders>
            <w:vAlign w:val="center"/>
          </w:tcPr>
          <w:p w14:paraId="1D203585" w14:textId="77777777" w:rsidR="00674853" w:rsidRDefault="00674853" w:rsidP="0053198F"/>
        </w:tc>
        <w:tc>
          <w:tcPr>
            <w:tcW w:w="8294" w:type="dxa"/>
            <w:gridSpan w:val="3"/>
            <w:tcBorders>
              <w:left w:val="nil"/>
            </w:tcBorders>
            <w:vAlign w:val="center"/>
          </w:tcPr>
          <w:p w14:paraId="77B1ED47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785B00" w14:paraId="2E339EBE" w14:textId="77777777" w:rsidTr="005D3FBF">
        <w:trPr>
          <w:trHeight w:val="692"/>
        </w:trPr>
        <w:tc>
          <w:tcPr>
            <w:tcW w:w="2225" w:type="dxa"/>
            <w:gridSpan w:val="3"/>
            <w:vAlign w:val="center"/>
          </w:tcPr>
          <w:p w14:paraId="1FE6661B" w14:textId="77777777" w:rsidR="00674853" w:rsidRDefault="00674853" w:rsidP="00E8310F">
            <w:r>
              <w:t>Sustainable?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64E7DDC4" w14:textId="77777777" w:rsidR="00674853" w:rsidRDefault="00B511A9">
            <w:r>
              <w:t>Yes</w:t>
            </w:r>
            <w:r w:rsidR="00652E6C">
              <w:t>, for pharmacies currently involved with provision of concordance type services.</w:t>
            </w:r>
          </w:p>
        </w:tc>
      </w:tr>
      <w:tr w:rsidR="00785B00" w14:paraId="1E3EF2DC" w14:textId="77777777" w:rsidTr="005D3FBF">
        <w:trPr>
          <w:trHeight w:val="2834"/>
        </w:trPr>
        <w:tc>
          <w:tcPr>
            <w:tcW w:w="2225" w:type="dxa"/>
            <w:gridSpan w:val="3"/>
            <w:vAlign w:val="center"/>
          </w:tcPr>
          <w:p w14:paraId="0D5DA024" w14:textId="77777777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7017" w:type="dxa"/>
            <w:shd w:val="clear" w:color="auto" w:fill="FFC000"/>
          </w:tcPr>
          <w:p w14:paraId="5BD532A2" w14:textId="77777777" w:rsidR="00B511A9" w:rsidRDefault="004B1453" w:rsidP="005F25A9">
            <w:r>
              <w:t>No specific</w:t>
            </w:r>
            <w:r w:rsidR="00244002">
              <w:t xml:space="preserve"> inclusion and exclusion criteria.</w:t>
            </w:r>
            <w:r>
              <w:t xml:space="preserve"> </w:t>
            </w:r>
            <w:r w:rsidR="00FC5AAB">
              <w:t xml:space="preserve">Service is available to referred vulnerable patients from the </w:t>
            </w:r>
            <w:r w:rsidR="00EC5E4D">
              <w:t>MAH</w:t>
            </w:r>
            <w:r w:rsidR="00DD58F5">
              <w:t xml:space="preserve"> service</w:t>
            </w:r>
            <w:r w:rsidR="00FC5AAB">
              <w:t xml:space="preserve"> only. They are of any age, requiring additional assistance and registered at a Portsmouth CCG CP practice.</w:t>
            </w:r>
          </w:p>
          <w:p w14:paraId="1D045B7A" w14:textId="77777777" w:rsidR="000A3E3A" w:rsidRDefault="000A3E3A" w:rsidP="005F25A9"/>
          <w:p w14:paraId="4B361D01" w14:textId="77777777" w:rsidR="000A3E3A" w:rsidRDefault="000A3E3A" w:rsidP="005F25A9">
            <w:r>
              <w:t>** see notes below under Miscellaneous information.</w:t>
            </w:r>
          </w:p>
          <w:p w14:paraId="7603865A" w14:textId="77777777" w:rsidR="000A3E3A" w:rsidRDefault="000A3E3A" w:rsidP="005F25A9"/>
          <w:p w14:paraId="0046267B" w14:textId="77777777" w:rsidR="00643981" w:rsidRDefault="005373E1" w:rsidP="005373E1">
            <w:pPr>
              <w:shd w:val="clear" w:color="auto" w:fill="FFC000"/>
            </w:pPr>
            <w:r w:rsidRPr="005373E1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="00A063E7" w:rsidRPr="005373E1">
              <w:rPr>
                <w:u w:val="single"/>
              </w:rPr>
              <w:t>Service standards</w:t>
            </w:r>
            <w:r w:rsidR="00883956" w:rsidRPr="005373E1">
              <w:rPr>
                <w:u w:val="single"/>
              </w:rPr>
              <w:t xml:space="preserve"> (only general, not Pivotell specific)</w:t>
            </w:r>
            <w:r w:rsidR="00A063E7">
              <w:t xml:space="preserve">: </w:t>
            </w:r>
            <w:r w:rsidR="00643981">
              <w:t>NICE</w:t>
            </w:r>
            <w:r w:rsidR="00A063E7">
              <w:t>, NHS Contractual Framework for Essential Services &amp; Advanced Services, RPS</w:t>
            </w:r>
          </w:p>
        </w:tc>
      </w:tr>
      <w:tr w:rsidR="00785B00" w14:paraId="6FB622F1" w14:textId="77777777" w:rsidTr="005D3FBF">
        <w:trPr>
          <w:trHeight w:val="584"/>
        </w:trPr>
        <w:tc>
          <w:tcPr>
            <w:tcW w:w="2225" w:type="dxa"/>
            <w:gridSpan w:val="3"/>
            <w:vAlign w:val="center"/>
          </w:tcPr>
          <w:p w14:paraId="6FF7A1E9" w14:textId="77777777" w:rsidR="00674853" w:rsidRDefault="00674853" w:rsidP="00E8310F">
            <w:r>
              <w:t>Enhance patient care?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0A0B5485" w14:textId="77777777" w:rsidR="00674853" w:rsidRDefault="004B1453" w:rsidP="004B1453">
            <w:r>
              <w:t>Yes</w:t>
            </w:r>
          </w:p>
        </w:tc>
      </w:tr>
      <w:tr w:rsidR="00785B00" w14:paraId="483DDE68" w14:textId="77777777" w:rsidTr="005D3FBF">
        <w:trPr>
          <w:trHeight w:val="1070"/>
        </w:trPr>
        <w:tc>
          <w:tcPr>
            <w:tcW w:w="2225" w:type="dxa"/>
            <w:gridSpan w:val="3"/>
            <w:vAlign w:val="center"/>
          </w:tcPr>
          <w:p w14:paraId="39677355" w14:textId="77777777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7017" w:type="dxa"/>
            <w:shd w:val="clear" w:color="auto" w:fill="FFC000"/>
          </w:tcPr>
          <w:p w14:paraId="50C0606A" w14:textId="77777777" w:rsidR="00FC5AAB" w:rsidRDefault="00FC5AAB" w:rsidP="00FC5AAB">
            <w:r>
              <w:t>No details provided.</w:t>
            </w:r>
          </w:p>
          <w:p w14:paraId="7F3FA8DB" w14:textId="77777777" w:rsidR="00C8050F" w:rsidRDefault="00FC5AAB" w:rsidP="00FC5AAB">
            <w:r>
              <w:t>Assume a standard NHS contract will cover this service, but would be better if the new Short Form could be adopted.</w:t>
            </w:r>
          </w:p>
        </w:tc>
      </w:tr>
      <w:tr w:rsidR="00785B00" w14:paraId="6BFDAADE" w14:textId="77777777" w:rsidTr="005D3FBF">
        <w:trPr>
          <w:trHeight w:val="809"/>
        </w:trPr>
        <w:tc>
          <w:tcPr>
            <w:tcW w:w="2225" w:type="dxa"/>
            <w:gridSpan w:val="3"/>
            <w:vAlign w:val="center"/>
          </w:tcPr>
          <w:p w14:paraId="088A1792" w14:textId="77777777" w:rsidR="00674853" w:rsidRDefault="00674853" w:rsidP="00E8310F">
            <w:r>
              <w:t>Enhance relationships with other HCPs?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34B70312" w14:textId="77777777" w:rsidR="00674853" w:rsidRDefault="00FC5AAB">
            <w:r>
              <w:t xml:space="preserve">Yes, enhances CP relationship with Social Services and the </w:t>
            </w:r>
            <w:r w:rsidR="00DD58F5">
              <w:t>MAH service</w:t>
            </w:r>
            <w:r w:rsidR="00785B00">
              <w:t>.</w:t>
            </w:r>
          </w:p>
        </w:tc>
      </w:tr>
      <w:tr w:rsidR="00785B00" w14:paraId="188D4897" w14:textId="77777777" w:rsidTr="005D3FBF">
        <w:trPr>
          <w:trHeight w:val="971"/>
        </w:trPr>
        <w:tc>
          <w:tcPr>
            <w:tcW w:w="2225" w:type="dxa"/>
            <w:gridSpan w:val="3"/>
            <w:vAlign w:val="center"/>
          </w:tcPr>
          <w:p w14:paraId="7D9104F9" w14:textId="77777777" w:rsidR="00674853" w:rsidRDefault="00674853" w:rsidP="00E8310F">
            <w:r>
              <w:lastRenderedPageBreak/>
              <w:t>Deliverable?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FFC000"/>
          </w:tcPr>
          <w:p w14:paraId="3F78CE40" w14:textId="77777777" w:rsidR="00674853" w:rsidRDefault="00B511A9" w:rsidP="00E8310F">
            <w:r>
              <w:t>Yes</w:t>
            </w:r>
            <w:r w:rsidR="00F26E94">
              <w:t>; for the small number of pharmacies required to participate. D</w:t>
            </w:r>
            <w:r w:rsidR="00883956">
              <w:t xml:space="preserve">ependent on </w:t>
            </w:r>
            <w:r w:rsidR="00A0339D">
              <w:t>individual contractors assessing the individual risks associated with provision of this service prior to participation.</w:t>
            </w:r>
          </w:p>
        </w:tc>
      </w:tr>
      <w:tr w:rsidR="00560772" w14:paraId="14D17520" w14:textId="77777777" w:rsidTr="005D3FBF">
        <w:trPr>
          <w:trHeight w:val="2524"/>
        </w:trPr>
        <w:tc>
          <w:tcPr>
            <w:tcW w:w="2225" w:type="dxa"/>
            <w:gridSpan w:val="3"/>
            <w:vAlign w:val="center"/>
          </w:tcPr>
          <w:p w14:paraId="7F268C70" w14:textId="77777777" w:rsidR="00560772" w:rsidRDefault="00560772" w:rsidP="00560772">
            <w:r>
              <w:t>Attractive enough for contractors to consider it worthwhile?</w:t>
            </w:r>
          </w:p>
        </w:tc>
        <w:tc>
          <w:tcPr>
            <w:tcW w:w="7017" w:type="dxa"/>
            <w:shd w:val="clear" w:color="auto" w:fill="FFC000"/>
          </w:tcPr>
          <w:p w14:paraId="04E69EC0" w14:textId="77777777" w:rsidR="00560772" w:rsidRDefault="00560772" w:rsidP="00560772">
            <w:r>
              <w:t xml:space="preserve">Yes; although need to be clear on time required to develop robust &amp; acceptable SOP’s and be comfortable with liability / legality issues regarding the service. </w:t>
            </w:r>
          </w:p>
          <w:p w14:paraId="1E64DB2F" w14:textId="77777777" w:rsidR="00560772" w:rsidRDefault="00560772" w:rsidP="00560772">
            <w:r>
              <w:t xml:space="preserve">** see notes below under Miscellaneous information. </w:t>
            </w:r>
          </w:p>
          <w:p w14:paraId="1E394CBA" w14:textId="77777777" w:rsidR="00560772" w:rsidRDefault="00560772" w:rsidP="00560772">
            <w:r>
              <w:t>(</w:t>
            </w:r>
            <w:proofErr w:type="spellStart"/>
            <w:r>
              <w:t>Nb</w:t>
            </w:r>
            <w:proofErr w:type="spellEnd"/>
            <w:r>
              <w:t xml:space="preserve">: </w:t>
            </w:r>
            <w:proofErr w:type="spellStart"/>
            <w:r>
              <w:t>GPhC</w:t>
            </w:r>
            <w:proofErr w:type="spellEnd"/>
            <w:r>
              <w:t xml:space="preserve"> has made no comment &amp; RPS does not support)</w:t>
            </w:r>
          </w:p>
          <w:p w14:paraId="17414D52" w14:textId="77777777" w:rsidR="00560772" w:rsidRDefault="00560772" w:rsidP="00560772"/>
          <w:p w14:paraId="3F3FFCC9" w14:textId="77777777" w:rsidR="00560772" w:rsidRDefault="00560772" w:rsidP="00560772">
            <w:r>
              <w:t>Also, be clear on additional operational time required each month to dispense medication into the Pivotell device compared to a usual MDS blister.</w:t>
            </w:r>
          </w:p>
        </w:tc>
      </w:tr>
      <w:tr w:rsidR="00560772" w14:paraId="4E441D9A" w14:textId="77777777" w:rsidTr="005D3FBF">
        <w:trPr>
          <w:trHeight w:val="2524"/>
        </w:trPr>
        <w:tc>
          <w:tcPr>
            <w:tcW w:w="2225" w:type="dxa"/>
            <w:gridSpan w:val="3"/>
            <w:vAlign w:val="center"/>
          </w:tcPr>
          <w:p w14:paraId="428718C1" w14:textId="77777777" w:rsidR="00560772" w:rsidRDefault="00560772" w:rsidP="00560772">
            <w:r>
              <w:t>Have performance criteria that supports a quality service?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53CD6C91" w14:textId="77777777" w:rsidR="00560772" w:rsidRDefault="00560772" w:rsidP="00560772">
            <w:r>
              <w:t>Contractor must have SOP procedures &amp; Referral pathways in place for this service and review annually.</w:t>
            </w:r>
          </w:p>
          <w:p w14:paraId="0ACAE952" w14:textId="77777777" w:rsidR="00560772" w:rsidRDefault="00560772" w:rsidP="00560772">
            <w:r>
              <w:t>Pharmacy team awareness and training on service and CPD.</w:t>
            </w:r>
          </w:p>
          <w:p w14:paraId="25659ED2" w14:textId="77777777" w:rsidR="00560772" w:rsidRDefault="00560772" w:rsidP="00560772">
            <w:pPr>
              <w:shd w:val="clear" w:color="auto" w:fill="FFC000"/>
            </w:pPr>
            <w:r>
              <w:t>Pharmacy must participate in any CCG led audit or assessment of the service. Consultation with CPSC on this would be good.</w:t>
            </w:r>
          </w:p>
          <w:p w14:paraId="468AA253" w14:textId="77777777" w:rsidR="00560772" w:rsidRDefault="00560772" w:rsidP="00560772">
            <w:r>
              <w:t>Pharmacy must maintain records on service delivery &amp; audit using PharmOutcomes.</w:t>
            </w:r>
          </w:p>
          <w:p w14:paraId="4F82214B" w14:textId="77777777" w:rsidR="00560772" w:rsidRDefault="00560772" w:rsidP="00560772">
            <w:r>
              <w:t>Pharmacy to ensure DBS checks and Lone worker policy in place for relevant staff.</w:t>
            </w:r>
          </w:p>
        </w:tc>
      </w:tr>
      <w:tr w:rsidR="00090B00" w14:paraId="2B751843" w14:textId="77777777" w:rsidTr="00090B00">
        <w:trPr>
          <w:trHeight w:val="604"/>
        </w:trPr>
        <w:tc>
          <w:tcPr>
            <w:tcW w:w="9242" w:type="dxa"/>
            <w:gridSpan w:val="4"/>
            <w:vAlign w:val="center"/>
          </w:tcPr>
          <w:p w14:paraId="2630713E" w14:textId="77777777" w:rsidR="00090B00" w:rsidRDefault="00090B00" w:rsidP="00090B00">
            <w:pPr>
              <w:jc w:val="center"/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560772" w14:paraId="5389F695" w14:textId="77777777" w:rsidTr="005D3FBF">
        <w:trPr>
          <w:trHeight w:val="2823"/>
        </w:trPr>
        <w:tc>
          <w:tcPr>
            <w:tcW w:w="2225" w:type="dxa"/>
            <w:gridSpan w:val="3"/>
            <w:vAlign w:val="center"/>
          </w:tcPr>
          <w:p w14:paraId="463099C8" w14:textId="77777777" w:rsidR="00560772" w:rsidRDefault="00560772" w:rsidP="00560772">
            <w:r>
              <w:t>Are the performance measures reasonable and achievable?</w:t>
            </w:r>
          </w:p>
        </w:tc>
        <w:tc>
          <w:tcPr>
            <w:tcW w:w="7017" w:type="dxa"/>
            <w:shd w:val="clear" w:color="auto" w:fill="00B050"/>
          </w:tcPr>
          <w:p w14:paraId="51886685" w14:textId="77777777" w:rsidR="00560772" w:rsidRDefault="00560772" w:rsidP="00560772">
            <w:pPr>
              <w:shd w:val="clear" w:color="auto" w:fill="00B050"/>
            </w:pPr>
            <w:r>
              <w:t>Yes</w:t>
            </w:r>
          </w:p>
          <w:p w14:paraId="78D1E67D" w14:textId="77777777" w:rsidR="00560772" w:rsidRDefault="00560772" w:rsidP="00560772">
            <w:pPr>
              <w:shd w:val="clear" w:color="auto" w:fill="00B050"/>
            </w:pPr>
            <w:r>
              <w:t>Regular face to face contact or if necessary a telephone call (ideally monthly, minimum 3 monthly to check device still appropriate for patient).</w:t>
            </w:r>
          </w:p>
          <w:p w14:paraId="27843203" w14:textId="77777777" w:rsidR="00560772" w:rsidRDefault="00560772" w:rsidP="00560772">
            <w:pPr>
              <w:shd w:val="clear" w:color="auto" w:fill="00B050"/>
            </w:pPr>
            <w:r>
              <w:t>Contact MAH service if ever unable to provide appropriate necessary support identified.</w:t>
            </w:r>
          </w:p>
          <w:p w14:paraId="157F6673" w14:textId="77777777" w:rsidR="00560772" w:rsidRDefault="00754740" w:rsidP="00560772">
            <w:r>
              <w:rPr>
                <w:shd w:val="clear" w:color="auto" w:fill="FFC000"/>
              </w:rPr>
              <w:t>T</w:t>
            </w:r>
            <w:r w:rsidR="00560772" w:rsidRPr="00754740">
              <w:rPr>
                <w:shd w:val="clear" w:color="auto" w:fill="FFC000"/>
              </w:rPr>
              <w:t>ime frame required in which required to make an authorised required home visit</w:t>
            </w:r>
            <w:r>
              <w:rPr>
                <w:shd w:val="clear" w:color="auto" w:fill="FFC000"/>
              </w:rPr>
              <w:t xml:space="preserve"> not specified, however backstop position is the MAH service will make a visit if the pharmacy notifies the MAH service that they are unable to do this</w:t>
            </w:r>
            <w:r w:rsidR="00560772" w:rsidRPr="00754740">
              <w:rPr>
                <w:shd w:val="clear" w:color="auto" w:fill="FFC000"/>
              </w:rPr>
              <w:t>.</w:t>
            </w:r>
          </w:p>
        </w:tc>
      </w:tr>
      <w:tr w:rsidR="00560772" w14:paraId="68C513D2" w14:textId="77777777" w:rsidTr="005D3FBF">
        <w:trPr>
          <w:trHeight w:val="877"/>
        </w:trPr>
        <w:tc>
          <w:tcPr>
            <w:tcW w:w="2225" w:type="dxa"/>
            <w:gridSpan w:val="3"/>
            <w:vAlign w:val="center"/>
          </w:tcPr>
          <w:p w14:paraId="6EC5A3CB" w14:textId="77777777" w:rsidR="00560772" w:rsidRDefault="00560772" w:rsidP="00560772">
            <w:r>
              <w:t>Is the administration proportional to size or service and remuneration?</w:t>
            </w:r>
          </w:p>
        </w:tc>
        <w:tc>
          <w:tcPr>
            <w:tcW w:w="7017" w:type="dxa"/>
            <w:shd w:val="clear" w:color="auto" w:fill="00B050"/>
          </w:tcPr>
          <w:p w14:paraId="2F2991A4" w14:textId="77777777" w:rsidR="00560772" w:rsidRDefault="00560772" w:rsidP="00560772">
            <w:pPr>
              <w:shd w:val="clear" w:color="auto" w:fill="00B050"/>
            </w:pPr>
            <w:r>
              <w:t>Yes</w:t>
            </w:r>
          </w:p>
        </w:tc>
      </w:tr>
      <w:tr w:rsidR="00560772" w14:paraId="3A78C475" w14:textId="77777777" w:rsidTr="005D3FBF">
        <w:trPr>
          <w:trHeight w:val="834"/>
        </w:trPr>
        <w:tc>
          <w:tcPr>
            <w:tcW w:w="2225" w:type="dxa"/>
            <w:gridSpan w:val="3"/>
            <w:vAlign w:val="center"/>
          </w:tcPr>
          <w:p w14:paraId="6B9657EC" w14:textId="77777777" w:rsidR="00560772" w:rsidRDefault="00560772" w:rsidP="00560772">
            <w:r>
              <w:t>Are any reporting systems suitable to all contractors?</w:t>
            </w:r>
          </w:p>
        </w:tc>
        <w:tc>
          <w:tcPr>
            <w:tcW w:w="7017" w:type="dxa"/>
            <w:shd w:val="clear" w:color="auto" w:fill="00B050"/>
          </w:tcPr>
          <w:p w14:paraId="01B7E383" w14:textId="77777777" w:rsidR="00560772" w:rsidRDefault="00560772" w:rsidP="00560772">
            <w:r>
              <w:t>PharmOutcomes requires internet access.</w:t>
            </w:r>
          </w:p>
          <w:p w14:paraId="069FC5ED" w14:textId="77777777" w:rsidR="00560772" w:rsidRDefault="00560772" w:rsidP="00560772">
            <w:pPr>
              <w:shd w:val="clear" w:color="auto" w:fill="00B050"/>
            </w:pPr>
            <w:r>
              <w:t>Use essential to enter information.</w:t>
            </w:r>
          </w:p>
        </w:tc>
      </w:tr>
      <w:tr w:rsidR="00090B00" w14:paraId="27B52AEE" w14:textId="77777777" w:rsidTr="005D3FBF">
        <w:trPr>
          <w:trHeight w:val="1492"/>
        </w:trPr>
        <w:tc>
          <w:tcPr>
            <w:tcW w:w="2225" w:type="dxa"/>
            <w:gridSpan w:val="3"/>
            <w:vAlign w:val="center"/>
          </w:tcPr>
          <w:p w14:paraId="46157F2E" w14:textId="77777777" w:rsidR="00090B00" w:rsidRDefault="00090B00" w:rsidP="00090B00">
            <w:r>
              <w:t>Is the training required for the service reasonable? Consider accessibility to CPPE for non-pharmacist/technician staff.</w:t>
            </w:r>
          </w:p>
        </w:tc>
        <w:tc>
          <w:tcPr>
            <w:tcW w:w="7017" w:type="dxa"/>
            <w:shd w:val="clear" w:color="auto" w:fill="00B050"/>
          </w:tcPr>
          <w:p w14:paraId="41BCEB97" w14:textId="77777777" w:rsidR="00090B00" w:rsidRDefault="00090B00" w:rsidP="00090B00">
            <w:r>
              <w:t>Completion of CPPE learning pack ‘Patient Centred Care’ recommended.</w:t>
            </w:r>
          </w:p>
          <w:p w14:paraId="07A6DE92" w14:textId="77777777" w:rsidR="00090B00" w:rsidRDefault="00090B00" w:rsidP="00090B00">
            <w:r>
              <w:t>Ongoing CPD.</w:t>
            </w:r>
          </w:p>
        </w:tc>
      </w:tr>
      <w:tr w:rsidR="00642474" w14:paraId="1C06FE82" w14:textId="77777777" w:rsidTr="005D3FBF">
        <w:trPr>
          <w:trHeight w:val="1492"/>
        </w:trPr>
        <w:tc>
          <w:tcPr>
            <w:tcW w:w="2225" w:type="dxa"/>
            <w:gridSpan w:val="3"/>
            <w:vAlign w:val="center"/>
          </w:tcPr>
          <w:p w14:paraId="6C3CC686" w14:textId="77777777" w:rsidR="00642474" w:rsidRDefault="00642474" w:rsidP="00642474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00B050"/>
          </w:tcPr>
          <w:p w14:paraId="7298E941" w14:textId="77777777" w:rsidR="00642474" w:rsidRDefault="00642474" w:rsidP="00642474">
            <w:r>
              <w:t>Yes, record made on PharmOutcomes in timely manner to support monitoring and payment claims.</w:t>
            </w:r>
          </w:p>
          <w:p w14:paraId="6F395613" w14:textId="77777777" w:rsidR="00642474" w:rsidRDefault="00642474" w:rsidP="00642474">
            <w:r>
              <w:t>Necessary referral to other Healthcare professionals will be sent as appropriately, where patient consent has been obtained.</w:t>
            </w:r>
          </w:p>
          <w:p w14:paraId="05A813A9" w14:textId="77777777" w:rsidR="00642474" w:rsidRDefault="00642474" w:rsidP="00642474">
            <w:pPr>
              <w:shd w:val="clear" w:color="auto" w:fill="FFC000"/>
            </w:pPr>
            <w:r>
              <w:t>(recorded where and how?)</w:t>
            </w:r>
          </w:p>
        </w:tc>
      </w:tr>
      <w:tr w:rsidR="00DB77EA" w14:paraId="6A53C7B0" w14:textId="77777777" w:rsidTr="00DB77EA">
        <w:trPr>
          <w:trHeight w:val="545"/>
        </w:trPr>
        <w:tc>
          <w:tcPr>
            <w:tcW w:w="9242" w:type="dxa"/>
            <w:gridSpan w:val="4"/>
            <w:vAlign w:val="center"/>
          </w:tcPr>
          <w:p w14:paraId="535E78F9" w14:textId="77777777" w:rsidR="00DB77EA" w:rsidRDefault="00DB77EA" w:rsidP="00DB77EA">
            <w:pPr>
              <w:jc w:val="center"/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42474" w14:paraId="080176B5" w14:textId="77777777" w:rsidTr="005D3FBF">
        <w:trPr>
          <w:trHeight w:val="2602"/>
        </w:trPr>
        <w:tc>
          <w:tcPr>
            <w:tcW w:w="2225" w:type="dxa"/>
            <w:gridSpan w:val="3"/>
            <w:vAlign w:val="center"/>
          </w:tcPr>
          <w:p w14:paraId="2B20A5F9" w14:textId="77777777" w:rsidR="00642474" w:rsidRDefault="00DB77EA" w:rsidP="00DB77EA">
            <w:r>
              <w:t>Any other information specific to this service.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FFC000"/>
          </w:tcPr>
          <w:p w14:paraId="1E8BFEAD" w14:textId="77777777" w:rsidR="00DB77EA" w:rsidRDefault="00DB77EA" w:rsidP="00DB77EA">
            <w:r>
              <w:t xml:space="preserve">** Please refer to comments made in detailed evaluation of Pivotell conducted previously by Manchester LPC (click link below) - this lists issues that contractors should be aware of before deciding whether to participate the service. </w:t>
            </w:r>
          </w:p>
          <w:p w14:paraId="7BB5F5AE" w14:textId="77777777" w:rsidR="00DB77EA" w:rsidRDefault="00DB77EA" w:rsidP="00DB77EA">
            <w:r>
              <w:t>Note this is based on the West Midlands model and not the Portsmouth model being proposed, therefore some points may not be relevant; having been already addressed by the Portsmouth CCG.</w:t>
            </w:r>
          </w:p>
          <w:p w14:paraId="0E9F1551" w14:textId="77777777" w:rsidR="00DB77EA" w:rsidRDefault="000124F9" w:rsidP="00DB77EA">
            <w:hyperlink r:id="rId9" w:history="1">
              <w:r w:rsidR="00DB77EA" w:rsidRPr="00600E4E">
                <w:rPr>
                  <w:rStyle w:val="Hyperlink"/>
                  <w:rFonts w:ascii="Helvetica Neue" w:hAnsi="Helvetica Neue"/>
                  <w:sz w:val="21"/>
                  <w:szCs w:val="21"/>
                  <w:shd w:val="clear" w:color="auto" w:fill="FFC000"/>
                </w:rPr>
                <w:t>https://www.cpsc.org.uk/application/files/9215/5350/6460/Automated_Pill_Dispenser_guidance.pdf</w:t>
              </w:r>
            </w:hyperlink>
            <w:r w:rsidR="00DB77E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C000"/>
              </w:rPr>
              <w:t xml:space="preserve"> </w:t>
            </w:r>
            <w:r w:rsidR="00DB77E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A55C2" w14:paraId="531A6B7B" w14:textId="77777777" w:rsidTr="005D3FBF">
        <w:trPr>
          <w:trHeight w:val="623"/>
        </w:trPr>
        <w:tc>
          <w:tcPr>
            <w:tcW w:w="2225" w:type="dxa"/>
            <w:gridSpan w:val="3"/>
            <w:vAlign w:val="center"/>
          </w:tcPr>
          <w:p w14:paraId="3B33ACA9" w14:textId="77777777" w:rsidR="002A55C2" w:rsidRDefault="002A55C2" w:rsidP="00DB77EA">
            <w:r>
              <w:t>Suggested RAG Rating</w:t>
            </w: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FFC000"/>
          </w:tcPr>
          <w:tbl>
            <w:tblPr>
              <w:tblStyle w:val="TableGrid"/>
              <w:tblpPr w:vertAnchor="text" w:horzAnchor="page" w:tblpX="4642" w:tblpY="-15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1"/>
            </w:tblGrid>
            <w:tr w:rsidR="005D3FBF" w14:paraId="72F1B8FE" w14:textId="77777777" w:rsidTr="00A81180">
              <w:trPr>
                <w:trHeight w:val="657"/>
              </w:trPr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0000"/>
                </w:tcPr>
                <w:p w14:paraId="7E3A4A90" w14:textId="77777777" w:rsidR="005D3FBF" w:rsidRDefault="005D3FBF" w:rsidP="005D3FBF">
                  <w:pPr>
                    <w:ind w:right="-299"/>
                    <w:jc w:val="right"/>
                  </w:pPr>
                </w:p>
                <w:p w14:paraId="1D4B75C5" w14:textId="77777777" w:rsidR="005D3FBF" w:rsidRDefault="005D3FBF" w:rsidP="005D3FBF"/>
              </w:tc>
            </w:tr>
          </w:tbl>
          <w:p w14:paraId="7A636B5B" w14:textId="77777777" w:rsidR="002A55C2" w:rsidRDefault="002A55C2" w:rsidP="00DB77EA"/>
        </w:tc>
      </w:tr>
    </w:tbl>
    <w:p w14:paraId="0D132A2D" w14:textId="28878F51" w:rsidR="00835D38" w:rsidRDefault="00835D38" w:rsidP="00560772"/>
    <w:sectPr w:rsidR="00835D38" w:rsidSect="005D3FBF">
      <w:headerReference w:type="default" r:id="rId10"/>
      <w:pgSz w:w="11906" w:h="16838"/>
      <w:pgMar w:top="1926" w:right="1440" w:bottom="1440" w:left="1440" w:header="708" w:footer="708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1223" w14:textId="77777777" w:rsidR="000124F9" w:rsidRDefault="000124F9" w:rsidP="00976447">
      <w:pPr>
        <w:spacing w:after="0" w:line="240" w:lineRule="auto"/>
      </w:pPr>
      <w:r>
        <w:separator/>
      </w:r>
    </w:p>
  </w:endnote>
  <w:endnote w:type="continuationSeparator" w:id="0">
    <w:p w14:paraId="5E7BEF2D" w14:textId="77777777" w:rsidR="000124F9" w:rsidRDefault="000124F9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DA05" w14:textId="77777777" w:rsidR="000124F9" w:rsidRDefault="000124F9" w:rsidP="00976447">
      <w:pPr>
        <w:spacing w:after="0" w:line="240" w:lineRule="auto"/>
      </w:pPr>
      <w:r>
        <w:separator/>
      </w:r>
    </w:p>
  </w:footnote>
  <w:footnote w:type="continuationSeparator" w:id="0">
    <w:p w14:paraId="042C931E" w14:textId="77777777" w:rsidR="000124F9" w:rsidRDefault="000124F9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73434B" w14:textId="77777777" w:rsidR="00976447" w:rsidRDefault="00E17B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3EE97B7F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8DD"/>
    <w:multiLevelType w:val="hybridMultilevel"/>
    <w:tmpl w:val="FAB24462"/>
    <w:lvl w:ilvl="0" w:tplc="7AB271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A0A"/>
    <w:multiLevelType w:val="hybridMultilevel"/>
    <w:tmpl w:val="BB12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1476"/>
    <w:multiLevelType w:val="hybridMultilevel"/>
    <w:tmpl w:val="DC9E4CA2"/>
    <w:lvl w:ilvl="0" w:tplc="9E7C8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5AEC"/>
    <w:multiLevelType w:val="hybridMultilevel"/>
    <w:tmpl w:val="CE1EEC04"/>
    <w:lvl w:ilvl="0" w:tplc="53765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6564"/>
    <w:multiLevelType w:val="hybridMultilevel"/>
    <w:tmpl w:val="8DE614D8"/>
    <w:lvl w:ilvl="0" w:tplc="2C148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07C4"/>
    <w:multiLevelType w:val="hybridMultilevel"/>
    <w:tmpl w:val="724A0844"/>
    <w:lvl w:ilvl="0" w:tplc="1C66B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0EF9"/>
    <w:multiLevelType w:val="hybridMultilevel"/>
    <w:tmpl w:val="D0D05424"/>
    <w:lvl w:ilvl="0" w:tplc="E0A83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1E2"/>
    <w:multiLevelType w:val="hybridMultilevel"/>
    <w:tmpl w:val="78642466"/>
    <w:lvl w:ilvl="0" w:tplc="81EA9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190D"/>
    <w:multiLevelType w:val="hybridMultilevel"/>
    <w:tmpl w:val="1F206AF6"/>
    <w:lvl w:ilvl="0" w:tplc="168AE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7"/>
    <w:rsid w:val="000124F9"/>
    <w:rsid w:val="00030B83"/>
    <w:rsid w:val="000411A0"/>
    <w:rsid w:val="00076AAB"/>
    <w:rsid w:val="0008035C"/>
    <w:rsid w:val="00090B00"/>
    <w:rsid w:val="0009584F"/>
    <w:rsid w:val="000A34AA"/>
    <w:rsid w:val="000A3E3A"/>
    <w:rsid w:val="000D51A7"/>
    <w:rsid w:val="000D6178"/>
    <w:rsid w:val="000E6A25"/>
    <w:rsid w:val="00107009"/>
    <w:rsid w:val="001535B4"/>
    <w:rsid w:val="001B6EC7"/>
    <w:rsid w:val="001E169D"/>
    <w:rsid w:val="001E2915"/>
    <w:rsid w:val="001E6800"/>
    <w:rsid w:val="00204785"/>
    <w:rsid w:val="00244002"/>
    <w:rsid w:val="00285C4B"/>
    <w:rsid w:val="002A4146"/>
    <w:rsid w:val="002A55C2"/>
    <w:rsid w:val="002B736D"/>
    <w:rsid w:val="002C296C"/>
    <w:rsid w:val="002C71D4"/>
    <w:rsid w:val="00317DF1"/>
    <w:rsid w:val="00390DE3"/>
    <w:rsid w:val="00401E68"/>
    <w:rsid w:val="0041049D"/>
    <w:rsid w:val="00435506"/>
    <w:rsid w:val="00451FED"/>
    <w:rsid w:val="00460CB9"/>
    <w:rsid w:val="00486877"/>
    <w:rsid w:val="004A07C8"/>
    <w:rsid w:val="004A4DA0"/>
    <w:rsid w:val="004B0D0D"/>
    <w:rsid w:val="004B1453"/>
    <w:rsid w:val="004B1725"/>
    <w:rsid w:val="00507EF5"/>
    <w:rsid w:val="0053198F"/>
    <w:rsid w:val="005373E1"/>
    <w:rsid w:val="00560772"/>
    <w:rsid w:val="005622DD"/>
    <w:rsid w:val="00572473"/>
    <w:rsid w:val="005859B7"/>
    <w:rsid w:val="005940BD"/>
    <w:rsid w:val="005A003A"/>
    <w:rsid w:val="005A1E13"/>
    <w:rsid w:val="005C3C36"/>
    <w:rsid w:val="005D3FBF"/>
    <w:rsid w:val="005F25A9"/>
    <w:rsid w:val="006151B0"/>
    <w:rsid w:val="006365AF"/>
    <w:rsid w:val="00642474"/>
    <w:rsid w:val="00642954"/>
    <w:rsid w:val="00643981"/>
    <w:rsid w:val="00651F4F"/>
    <w:rsid w:val="00652E6C"/>
    <w:rsid w:val="00674853"/>
    <w:rsid w:val="00697410"/>
    <w:rsid w:val="006A4876"/>
    <w:rsid w:val="006B2BB8"/>
    <w:rsid w:val="006F7585"/>
    <w:rsid w:val="007176FD"/>
    <w:rsid w:val="00721495"/>
    <w:rsid w:val="007402C8"/>
    <w:rsid w:val="00751EB5"/>
    <w:rsid w:val="00754740"/>
    <w:rsid w:val="00771CB7"/>
    <w:rsid w:val="007848C5"/>
    <w:rsid w:val="00785B00"/>
    <w:rsid w:val="007918F8"/>
    <w:rsid w:val="007E0BB9"/>
    <w:rsid w:val="007F001C"/>
    <w:rsid w:val="00823D72"/>
    <w:rsid w:val="00835D38"/>
    <w:rsid w:val="008574E7"/>
    <w:rsid w:val="00862910"/>
    <w:rsid w:val="008761FE"/>
    <w:rsid w:val="00883956"/>
    <w:rsid w:val="008A3C57"/>
    <w:rsid w:val="008D5924"/>
    <w:rsid w:val="008F423B"/>
    <w:rsid w:val="00902563"/>
    <w:rsid w:val="009068FE"/>
    <w:rsid w:val="00935A10"/>
    <w:rsid w:val="00976447"/>
    <w:rsid w:val="00996E1D"/>
    <w:rsid w:val="009A4336"/>
    <w:rsid w:val="00A0339D"/>
    <w:rsid w:val="00A034B8"/>
    <w:rsid w:val="00A063E7"/>
    <w:rsid w:val="00A11735"/>
    <w:rsid w:val="00A13FF0"/>
    <w:rsid w:val="00A34BD5"/>
    <w:rsid w:val="00A3783A"/>
    <w:rsid w:val="00A46B9D"/>
    <w:rsid w:val="00A60403"/>
    <w:rsid w:val="00A605A5"/>
    <w:rsid w:val="00A70906"/>
    <w:rsid w:val="00A81180"/>
    <w:rsid w:val="00A81782"/>
    <w:rsid w:val="00A8629B"/>
    <w:rsid w:val="00A86F40"/>
    <w:rsid w:val="00AA0A59"/>
    <w:rsid w:val="00AC2ACA"/>
    <w:rsid w:val="00AC31A4"/>
    <w:rsid w:val="00AF2E5C"/>
    <w:rsid w:val="00AF58DC"/>
    <w:rsid w:val="00B27B12"/>
    <w:rsid w:val="00B3219E"/>
    <w:rsid w:val="00B33F77"/>
    <w:rsid w:val="00B41AC2"/>
    <w:rsid w:val="00B511A9"/>
    <w:rsid w:val="00B6130C"/>
    <w:rsid w:val="00BC2B48"/>
    <w:rsid w:val="00C0530F"/>
    <w:rsid w:val="00C8050F"/>
    <w:rsid w:val="00C8329F"/>
    <w:rsid w:val="00C90B3E"/>
    <w:rsid w:val="00CE5827"/>
    <w:rsid w:val="00CF09FC"/>
    <w:rsid w:val="00D01E8F"/>
    <w:rsid w:val="00D77664"/>
    <w:rsid w:val="00DA4268"/>
    <w:rsid w:val="00DA5646"/>
    <w:rsid w:val="00DA6A3F"/>
    <w:rsid w:val="00DB77EA"/>
    <w:rsid w:val="00DD58F5"/>
    <w:rsid w:val="00DE7675"/>
    <w:rsid w:val="00E12F94"/>
    <w:rsid w:val="00E17B31"/>
    <w:rsid w:val="00E220A4"/>
    <w:rsid w:val="00E46D93"/>
    <w:rsid w:val="00E568AA"/>
    <w:rsid w:val="00E80147"/>
    <w:rsid w:val="00E8310F"/>
    <w:rsid w:val="00E92405"/>
    <w:rsid w:val="00EA3183"/>
    <w:rsid w:val="00EA42B3"/>
    <w:rsid w:val="00EC5E4D"/>
    <w:rsid w:val="00EC6D76"/>
    <w:rsid w:val="00F00BA2"/>
    <w:rsid w:val="00F02A57"/>
    <w:rsid w:val="00F26E94"/>
    <w:rsid w:val="00F36A8C"/>
    <w:rsid w:val="00F46C00"/>
    <w:rsid w:val="00F619EA"/>
    <w:rsid w:val="00F65BC6"/>
    <w:rsid w:val="00F76281"/>
    <w:rsid w:val="00F91BB1"/>
    <w:rsid w:val="00FC5AAB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01CE"/>
  <w15:docId w15:val="{598F8254-0BC3-F545-A3F3-140F0657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07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sc.org.uk/application/files/9215/5350/6460/Automated_Pill_Dispenser_guidanc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07FB7"/>
    <w:rsid w:val="00016805"/>
    <w:rsid w:val="00114FF7"/>
    <w:rsid w:val="001518A5"/>
    <w:rsid w:val="0022656D"/>
    <w:rsid w:val="003228CB"/>
    <w:rsid w:val="0037538B"/>
    <w:rsid w:val="00611F4C"/>
    <w:rsid w:val="00662075"/>
    <w:rsid w:val="006903CA"/>
    <w:rsid w:val="006C29D5"/>
    <w:rsid w:val="00722348"/>
    <w:rsid w:val="00814374"/>
    <w:rsid w:val="008565E3"/>
    <w:rsid w:val="00920ADB"/>
    <w:rsid w:val="0092599D"/>
    <w:rsid w:val="009C08D5"/>
    <w:rsid w:val="009D26DD"/>
    <w:rsid w:val="00A2136D"/>
    <w:rsid w:val="00A6487A"/>
    <w:rsid w:val="00A9210F"/>
    <w:rsid w:val="00BE79E2"/>
    <w:rsid w:val="00C22656"/>
    <w:rsid w:val="00C969D9"/>
    <w:rsid w:val="00CA19E2"/>
    <w:rsid w:val="00E60DB7"/>
    <w:rsid w:val="00E7365B"/>
    <w:rsid w:val="00F9188C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51CE0B-DE9E-4797-86F9-1948BA86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creator>Retail IT</dc:creator>
  <cp:lastModifiedBy>alison freemantle</cp:lastModifiedBy>
  <cp:revision>2</cp:revision>
  <cp:lastPrinted>2016-11-23T11:09:00Z</cp:lastPrinted>
  <dcterms:created xsi:type="dcterms:W3CDTF">2019-10-25T09:13:00Z</dcterms:created>
  <dcterms:modified xsi:type="dcterms:W3CDTF">2019-10-25T09:13:00Z</dcterms:modified>
</cp:coreProperties>
</file>