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B164C84" w14:textId="77777777" w:rsidR="00045F43" w:rsidRDefault="0068698C" w:rsidP="00B3219E">
            <w:pPr>
              <w:rPr>
                <w:szCs w:val="28"/>
              </w:rPr>
            </w:pPr>
            <w:r>
              <w:rPr>
                <w:szCs w:val="28"/>
              </w:rPr>
              <w:t>Portsmouth City Council</w:t>
            </w:r>
          </w:p>
          <w:p w14:paraId="694596D0" w14:textId="17081AF2" w:rsidR="0068698C" w:rsidRDefault="0068698C" w:rsidP="00B3219E">
            <w:pPr>
              <w:rPr>
                <w:szCs w:val="28"/>
              </w:rPr>
            </w:pPr>
            <w:r>
              <w:rPr>
                <w:szCs w:val="28"/>
              </w:rPr>
              <w:t>NHS Health Checks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C27B60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3F9906F9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C27B60">
              <w:rPr>
                <w:szCs w:val="28"/>
              </w:rPr>
              <w:t>Amber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466B515A" w14:textId="50FDDA5A" w:rsidR="00045F43" w:rsidRDefault="00E67AEA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No </w:t>
            </w:r>
            <w:r w:rsidR="002547FC">
              <w:rPr>
                <w:szCs w:val="28"/>
              </w:rPr>
              <w:t xml:space="preserve">guarantee </w:t>
            </w:r>
            <w:r w:rsidR="008814DF">
              <w:rPr>
                <w:szCs w:val="28"/>
              </w:rPr>
              <w:t>of any minimum volume of tests to offset cost of purchasing equipment</w:t>
            </w:r>
          </w:p>
          <w:p w14:paraId="1E1CCFAD" w14:textId="77777777" w:rsidR="00045F43" w:rsidRDefault="00045F43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10F7CC96" w14:textId="222E3665" w:rsidR="00045F43" w:rsidRPr="0073541F" w:rsidRDefault="00045F43" w:rsidP="0073541F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045F43">
        <w:trPr>
          <w:trHeight w:val="4175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045F43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53198F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2162335B" w:rsidR="00045F43" w:rsidRDefault="00E84B93">
            <w:r>
              <w:t>N/A being completed retrospectively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7277929D" w14:textId="77777777" w:rsidR="00045F43" w:rsidRDefault="00045F43"/>
        </w:tc>
      </w:tr>
      <w:tr w:rsidR="00045F43" w14:paraId="5AC5A2C0" w14:textId="40FA13A7" w:rsidTr="00045F4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E8310F">
            <w:r>
              <w:t xml:space="preserve">CPSC Consulted with </w:t>
            </w:r>
            <w:proofErr w:type="gramStart"/>
            <w:r>
              <w:t>sufficient</w:t>
            </w:r>
            <w:proofErr w:type="gramEnd"/>
            <w:r>
              <w:t xml:space="preserve">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36084C4B" w:rsidR="00045F43" w:rsidRDefault="00E84B93" w:rsidP="00244002">
            <w:r>
              <w:t>N/A</w:t>
            </w:r>
          </w:p>
        </w:tc>
        <w:tc>
          <w:tcPr>
            <w:tcW w:w="799" w:type="dxa"/>
          </w:tcPr>
          <w:p w14:paraId="54D0C94E" w14:textId="77777777" w:rsidR="00045F43" w:rsidRDefault="00045F43" w:rsidP="00244002"/>
        </w:tc>
      </w:tr>
      <w:tr w:rsidR="00045F43" w14:paraId="5E44D587" w14:textId="716C3601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</w:tcPr>
          <w:p w14:paraId="5F60AEAF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B40148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53198F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/>
          <w:p w14:paraId="46D8D24F" w14:textId="4D9F688D" w:rsidR="00045F43" w:rsidRDefault="00A83BC5">
            <w:r>
              <w:t>No</w:t>
            </w:r>
            <w:r w:rsidR="003640DD">
              <w:t xml:space="preserve"> – Pharmacy are expected to pay for equipment, consumables, EQA </w:t>
            </w:r>
            <w:r w:rsidR="00E7005C">
              <w:t>themselves.</w:t>
            </w:r>
          </w:p>
          <w:p w14:paraId="0708EEB4" w14:textId="77777777" w:rsidR="00045F43" w:rsidRDefault="00045F43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045F43" w:rsidRDefault="00045F43"/>
        </w:tc>
      </w:tr>
      <w:tr w:rsidR="00045F43" w14:paraId="6A7452EE" w14:textId="683C8EE8" w:rsidTr="00B40148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6BBA7055" w14:textId="7EA5028E" w:rsidR="00045F43" w:rsidRDefault="00B40148" w:rsidP="0073541F">
            <w:r>
              <w:t xml:space="preserve">Yes, </w:t>
            </w:r>
            <w:proofErr w:type="spellStart"/>
            <w:r>
              <w:t>Pharmoutcomes</w:t>
            </w:r>
            <w:proofErr w:type="spellEnd"/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73541F"/>
        </w:tc>
      </w:tr>
      <w:tr w:rsidR="00045F43" w14:paraId="217E4207" w14:textId="1813678C" w:rsidTr="00994383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53198F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777ACDA0" w:rsidR="00045F43" w:rsidRDefault="00B40148" w:rsidP="00643981">
            <w:proofErr w:type="spellStart"/>
            <w:r>
              <w:t>Cardiochek</w:t>
            </w:r>
            <w:proofErr w:type="spellEnd"/>
            <w:r>
              <w:t xml:space="preserve"> PA cholesterol analyser </w:t>
            </w:r>
            <w:r w:rsidR="00F24258">
              <w:t>needs to be enrolled in EQA scheme – this cost is expected to be paid y the pharmacy, no additional funding for this</w:t>
            </w:r>
            <w:r w:rsidR="00E7005C">
              <w:t>.</w:t>
            </w:r>
          </w:p>
        </w:tc>
        <w:tc>
          <w:tcPr>
            <w:tcW w:w="799" w:type="dxa"/>
            <w:shd w:val="clear" w:color="auto" w:fill="FFC000"/>
          </w:tcPr>
          <w:p w14:paraId="3B781165" w14:textId="77777777" w:rsidR="00045F43" w:rsidRDefault="00045F43" w:rsidP="00643981"/>
        </w:tc>
      </w:tr>
      <w:tr w:rsidR="00045F43" w14:paraId="24AC69E5" w14:textId="5F99B4C9" w:rsidTr="003640DD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53198F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350BE712" w14:textId="32D05626" w:rsidR="00045F43" w:rsidRDefault="00994383" w:rsidP="00643981">
            <w:r>
              <w:t xml:space="preserve">Neutral, no guarantee of minimum number of patients, however several significant </w:t>
            </w:r>
            <w:r w:rsidR="003640DD">
              <w:t>outgoing costs to deliver the service.</w:t>
            </w:r>
          </w:p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643981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53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E7005C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E8310F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1843CFE8" w:rsidR="00045F43" w:rsidRDefault="00E7005C">
            <w:r>
              <w:t>Not without a guaranteed minimum income</w:t>
            </w:r>
          </w:p>
        </w:tc>
        <w:tc>
          <w:tcPr>
            <w:tcW w:w="799" w:type="dxa"/>
            <w:shd w:val="clear" w:color="auto" w:fill="FFC000"/>
          </w:tcPr>
          <w:p w14:paraId="4EF5A10D" w14:textId="77777777" w:rsidR="00045F43" w:rsidRDefault="00045F43"/>
        </w:tc>
      </w:tr>
      <w:tr w:rsidR="00045F43" w14:paraId="5B62E8E4" w14:textId="597D134F" w:rsidTr="00E7005C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E8310F">
            <w:r>
              <w:lastRenderedPageBreak/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0635D6E5" w:rsidR="00045F43" w:rsidRDefault="00954867" w:rsidP="005F25A9">
            <w:r>
              <w:t>March 2021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5F25A9"/>
        </w:tc>
      </w:tr>
      <w:tr w:rsidR="00045F43" w14:paraId="16A74219" w14:textId="68E13121" w:rsidTr="00E7005C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045F43" w:rsidRDefault="00045F43" w:rsidP="00E8310F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0D0F11AA" w14:textId="5895BBE7" w:rsidR="00045F43" w:rsidRDefault="0090544C" w:rsidP="005F25A9">
            <w:r>
              <w:t>Local</w:t>
            </w:r>
            <w:r w:rsidR="00766E9E">
              <w:t xml:space="preserve"> CVD mortality</w:t>
            </w:r>
            <w:r>
              <w:t xml:space="preserve"> rate</w:t>
            </w:r>
            <w:r w:rsidR="00766E9E">
              <w:t>s are</w:t>
            </w:r>
            <w:r>
              <w:t xml:space="preserve"> significantly higher than </w:t>
            </w:r>
            <w:r w:rsidR="00954867">
              <w:t xml:space="preserve">national </w:t>
            </w:r>
            <w:r w:rsidR="00766E9E">
              <w:t>average.</w:t>
            </w:r>
          </w:p>
          <w:p w14:paraId="035673CC" w14:textId="4E9576DE" w:rsidR="00034E94" w:rsidRDefault="00034E94" w:rsidP="005F25A9">
            <w:r>
              <w:t>Public Health England (2014), NHS Health Check programme standards: a framework for quality improvement</w:t>
            </w:r>
            <w:r w:rsidR="00D93097">
              <w:t>.</w:t>
            </w:r>
          </w:p>
          <w:p w14:paraId="2A8A4C8B" w14:textId="1234C24F" w:rsidR="00766E9E" w:rsidRDefault="00766E9E" w:rsidP="005F25A9"/>
        </w:tc>
        <w:tc>
          <w:tcPr>
            <w:tcW w:w="799" w:type="dxa"/>
            <w:shd w:val="clear" w:color="auto" w:fill="00B050"/>
          </w:tcPr>
          <w:p w14:paraId="2226A15F" w14:textId="77777777" w:rsidR="00045F43" w:rsidRDefault="00045F43" w:rsidP="005F25A9"/>
        </w:tc>
      </w:tr>
      <w:tr w:rsidR="00045F43" w14:paraId="5B9C68F9" w14:textId="070B8EDC" w:rsidTr="00E7005C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045F43" w:rsidRDefault="00045F43" w:rsidP="00E8310F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6E97725A" w:rsidR="00045F43" w:rsidRDefault="00766E9E">
            <w:r>
              <w:t xml:space="preserve">Yes, gives patients more options </w:t>
            </w:r>
            <w:r w:rsidR="00CD08FF">
              <w:t>to receive their NHS Health Check rather than having to go to the GP surgery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045F43" w:rsidRDefault="00045F43"/>
        </w:tc>
      </w:tr>
      <w:tr w:rsidR="00045F43" w14:paraId="125299A8" w14:textId="5B3F2407" w:rsidTr="00D93097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045F43" w:rsidRDefault="00045F43" w:rsidP="00E8310F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71562EE9" w14:textId="0B05ED9E" w:rsidR="00045F43" w:rsidRDefault="00D93097">
            <w:r>
              <w:t>None mentioned</w:t>
            </w:r>
          </w:p>
        </w:tc>
        <w:tc>
          <w:tcPr>
            <w:tcW w:w="799" w:type="dxa"/>
            <w:shd w:val="clear" w:color="auto" w:fill="FFC000"/>
          </w:tcPr>
          <w:p w14:paraId="205616B6" w14:textId="77777777" w:rsidR="00045F43" w:rsidRDefault="00045F43"/>
        </w:tc>
      </w:tr>
      <w:tr w:rsidR="00045F43" w14:paraId="2FF73E44" w14:textId="375D1898" w:rsidTr="00C62207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045F43" w:rsidRDefault="00045F43" w:rsidP="00E8310F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30EA539F" w:rsidR="00045F43" w:rsidRDefault="00682B3B">
            <w:r>
              <w:t>Onward referral to GP only</w:t>
            </w:r>
            <w:r w:rsidR="00C62207">
              <w:t>. No onward referral to other supporting services.</w:t>
            </w:r>
          </w:p>
        </w:tc>
        <w:tc>
          <w:tcPr>
            <w:tcW w:w="799" w:type="dxa"/>
            <w:shd w:val="clear" w:color="auto" w:fill="FFC000"/>
          </w:tcPr>
          <w:p w14:paraId="09855670" w14:textId="77777777" w:rsidR="00045F43" w:rsidRDefault="00045F43"/>
        </w:tc>
      </w:tr>
      <w:tr w:rsidR="00045F43" w14:paraId="0663853B" w14:textId="5B49B9CC" w:rsidTr="00D93097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045F43" w:rsidRDefault="00045F43" w:rsidP="00E8310F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597205E6" w:rsidR="00045F43" w:rsidRDefault="00682B3B" w:rsidP="00E8310F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045F43" w:rsidRDefault="00045F43" w:rsidP="00E8310F"/>
        </w:tc>
      </w:tr>
      <w:tr w:rsidR="00045F43" w14:paraId="3E4D7843" w14:textId="7703C887" w:rsidTr="00D93097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045F43" w:rsidRDefault="00045F43" w:rsidP="00E8310F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6EDF2962" w:rsidR="00045F43" w:rsidRDefault="00D93097" w:rsidP="000A34AA">
            <w:r>
              <w:t>No</w:t>
            </w:r>
          </w:p>
        </w:tc>
        <w:tc>
          <w:tcPr>
            <w:tcW w:w="799" w:type="dxa"/>
            <w:shd w:val="clear" w:color="auto" w:fill="FFC000"/>
          </w:tcPr>
          <w:p w14:paraId="6730DB4D" w14:textId="77777777" w:rsidR="00045F43" w:rsidRDefault="00045F43" w:rsidP="000A34AA"/>
        </w:tc>
      </w:tr>
      <w:tr w:rsidR="00045F43" w14:paraId="2F208423" w14:textId="5D45183A" w:rsidTr="00C51062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045F43" w:rsidRDefault="00045F43" w:rsidP="00E8310F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D9097E7" w14:textId="3EDE2F58" w:rsidR="00045F43" w:rsidRDefault="00285652" w:rsidP="0041049D">
            <w:r>
              <w:t xml:space="preserve">ad-hoc audit / evaluation </w:t>
            </w:r>
            <w:r>
              <w:t>mentioned but no details supplied</w:t>
            </w:r>
            <w:r>
              <w:t>. The Providers must co-operate with the locally agreed patient satisfaction survey to record service user experience</w:t>
            </w:r>
            <w:r w:rsidR="00C51062">
              <w:t xml:space="preserve"> – no details provided</w:t>
            </w:r>
            <w:r>
              <w:t>.</w:t>
            </w:r>
          </w:p>
        </w:tc>
        <w:tc>
          <w:tcPr>
            <w:tcW w:w="799" w:type="dxa"/>
            <w:shd w:val="clear" w:color="auto" w:fill="FFC000"/>
          </w:tcPr>
          <w:p w14:paraId="3EBF5139" w14:textId="77777777" w:rsidR="00045F43" w:rsidRDefault="00045F43" w:rsidP="0041049D"/>
        </w:tc>
      </w:tr>
      <w:tr w:rsidR="00045F43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67E7670C" w14:textId="4B7895D5" w:rsidTr="0057034D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045F43" w:rsidRDefault="00045F43" w:rsidP="00EA3183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045F43" w:rsidRDefault="00045F43"/>
          <w:p w14:paraId="53A479F4" w14:textId="5DC6C838" w:rsidR="00045F43" w:rsidRDefault="0057034D">
            <w:r>
              <w:t>No performance measures specified</w:t>
            </w:r>
            <w:bookmarkStart w:id="0" w:name="_GoBack"/>
            <w:bookmarkEnd w:id="0"/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045F43" w:rsidRDefault="00045F43"/>
        </w:tc>
      </w:tr>
      <w:tr w:rsidR="00045F43" w14:paraId="63C6D57B" w14:textId="778BB591" w:rsidTr="00682B3B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045F43" w:rsidRDefault="00045F43" w:rsidP="00EA3183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3CDC05DE" w:rsidR="00045F43" w:rsidRDefault="009700C3" w:rsidP="005F25A9">
            <w:r>
              <w:t xml:space="preserve">Minimal administration as data </w:t>
            </w:r>
            <w:r w:rsidR="00682B3B">
              <w:t xml:space="preserve">collated via </w:t>
            </w:r>
            <w:proofErr w:type="spellStart"/>
            <w:r w:rsidR="00682B3B">
              <w:t>Pharmoutcomes</w:t>
            </w:r>
            <w:proofErr w:type="spellEnd"/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045F43" w:rsidRDefault="00045F43" w:rsidP="005F25A9"/>
        </w:tc>
      </w:tr>
      <w:tr w:rsidR="00045F43" w14:paraId="7D161ADB" w14:textId="70A1118C" w:rsidTr="00AA06AE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045F43" w:rsidRDefault="00045F43" w:rsidP="00EA3183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5FD74A31" w:rsidR="00045F43" w:rsidRDefault="00AA06AE" w:rsidP="005F25A9">
            <w:r>
              <w:t xml:space="preserve">Yes – service uses </w:t>
            </w:r>
            <w:proofErr w:type="spellStart"/>
            <w:r>
              <w:t>Pharmoutcomes</w:t>
            </w:r>
            <w:proofErr w:type="spellEnd"/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045F43" w:rsidRDefault="00045F43" w:rsidP="005F25A9"/>
        </w:tc>
      </w:tr>
      <w:tr w:rsidR="00045F43" w14:paraId="0A0C87A0" w14:textId="374D2E97" w:rsidTr="009700C3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045F43" w:rsidRDefault="00045F4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32874270" w14:textId="52A30120" w:rsidR="00045F43" w:rsidRDefault="00AA06AE">
            <w:r>
              <w:t xml:space="preserve">NHS Health Checks Core Competences and Technical Competences are required by staff to be able to carry out an NHS Health Check. </w:t>
            </w:r>
            <w:r>
              <w:t>A</w:t>
            </w:r>
            <w:r>
              <w:t>ll staff are expected to work towards the NHS Health Check competence framework. www.healthcheck.nhs.uk</w:t>
            </w:r>
          </w:p>
        </w:tc>
        <w:tc>
          <w:tcPr>
            <w:tcW w:w="799" w:type="dxa"/>
            <w:shd w:val="clear" w:color="auto" w:fill="00B050"/>
          </w:tcPr>
          <w:p w14:paraId="2701175F" w14:textId="77777777" w:rsidR="00045F43" w:rsidRDefault="00045F43"/>
        </w:tc>
      </w:tr>
      <w:tr w:rsidR="00045F43" w14:paraId="21CF59AB" w14:textId="27325A9E" w:rsidTr="009700C3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045F43" w:rsidRDefault="00045F43" w:rsidP="00EA3183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78104525" w:rsidR="00045F43" w:rsidRDefault="009700C3" w:rsidP="00643981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045F43" w:rsidRDefault="00045F43" w:rsidP="00643981"/>
        </w:tc>
      </w:tr>
      <w:tr w:rsidR="00045F43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045F43" w:rsidRPr="00EA3183" w:rsidRDefault="00045F4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045F43" w:rsidRDefault="00045F43" w:rsidP="00EA3183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4CEE7AE" w:rsidR="00045F43" w:rsidRDefault="00045F43" w:rsidP="009467A1"/>
        </w:tc>
        <w:tc>
          <w:tcPr>
            <w:tcW w:w="799" w:type="dxa"/>
          </w:tcPr>
          <w:p w14:paraId="6AF58629" w14:textId="77777777" w:rsidR="00045F43" w:rsidRDefault="00045F43" w:rsidP="009467A1"/>
        </w:tc>
      </w:tr>
      <w:tr w:rsidR="00045F43" w14:paraId="755419F6" w14:textId="6BD7B556" w:rsidTr="009700C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045F43" w:rsidRDefault="00045F43" w:rsidP="00E8310F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045F43" w:rsidRDefault="00045F43"/>
        </w:tc>
        <w:tc>
          <w:tcPr>
            <w:tcW w:w="799" w:type="dxa"/>
            <w:shd w:val="clear" w:color="auto" w:fill="FFC000"/>
          </w:tcPr>
          <w:p w14:paraId="4D549C5A" w14:textId="77777777" w:rsidR="00045F43" w:rsidRDefault="00045F43"/>
        </w:tc>
      </w:tr>
    </w:tbl>
    <w:p w14:paraId="3674DB31" w14:textId="77777777" w:rsidR="00835D38" w:rsidRDefault="00835D38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50F63" w14:textId="77777777" w:rsidR="00873B03" w:rsidRDefault="00873B03" w:rsidP="00976447">
      <w:pPr>
        <w:spacing w:after="0" w:line="240" w:lineRule="auto"/>
      </w:pPr>
      <w:r>
        <w:separator/>
      </w:r>
    </w:p>
  </w:endnote>
  <w:endnote w:type="continuationSeparator" w:id="0">
    <w:p w14:paraId="4037A6F6" w14:textId="77777777" w:rsidR="00873B03" w:rsidRDefault="00873B03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46DC" w14:textId="77777777" w:rsidR="00873B03" w:rsidRDefault="00873B03" w:rsidP="00976447">
      <w:pPr>
        <w:spacing w:after="0" w:line="240" w:lineRule="auto"/>
      </w:pPr>
      <w:r>
        <w:separator/>
      </w:r>
    </w:p>
  </w:footnote>
  <w:footnote w:type="continuationSeparator" w:id="0">
    <w:p w14:paraId="53EE6DF9" w14:textId="77777777" w:rsidR="00873B03" w:rsidRDefault="00873B03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34E94"/>
    <w:rsid w:val="00045F43"/>
    <w:rsid w:val="0007423A"/>
    <w:rsid w:val="000A34AA"/>
    <w:rsid w:val="000D51A7"/>
    <w:rsid w:val="000D6178"/>
    <w:rsid w:val="00100477"/>
    <w:rsid w:val="00120B8B"/>
    <w:rsid w:val="001404CF"/>
    <w:rsid w:val="001535B4"/>
    <w:rsid w:val="001879AF"/>
    <w:rsid w:val="001B06EC"/>
    <w:rsid w:val="00244002"/>
    <w:rsid w:val="002547FC"/>
    <w:rsid w:val="00285652"/>
    <w:rsid w:val="002A4146"/>
    <w:rsid w:val="003640DD"/>
    <w:rsid w:val="003876C0"/>
    <w:rsid w:val="0041049D"/>
    <w:rsid w:val="00460CB9"/>
    <w:rsid w:val="004A4DA0"/>
    <w:rsid w:val="004B0D0D"/>
    <w:rsid w:val="004F2991"/>
    <w:rsid w:val="0053198F"/>
    <w:rsid w:val="005622DD"/>
    <w:rsid w:val="0057034D"/>
    <w:rsid w:val="005859B7"/>
    <w:rsid w:val="005A1E13"/>
    <w:rsid w:val="005B08F0"/>
    <w:rsid w:val="005F25A9"/>
    <w:rsid w:val="00612645"/>
    <w:rsid w:val="00643981"/>
    <w:rsid w:val="00674853"/>
    <w:rsid w:val="00682B3B"/>
    <w:rsid w:val="0068698C"/>
    <w:rsid w:val="00697410"/>
    <w:rsid w:val="006A4876"/>
    <w:rsid w:val="006A7667"/>
    <w:rsid w:val="006B2BB8"/>
    <w:rsid w:val="0073541F"/>
    <w:rsid w:val="00766E9E"/>
    <w:rsid w:val="00771CB7"/>
    <w:rsid w:val="00790210"/>
    <w:rsid w:val="007D5A8A"/>
    <w:rsid w:val="007E0BB9"/>
    <w:rsid w:val="007F001C"/>
    <w:rsid w:val="00835D38"/>
    <w:rsid w:val="00862910"/>
    <w:rsid w:val="00873B03"/>
    <w:rsid w:val="008814DF"/>
    <w:rsid w:val="008A3C57"/>
    <w:rsid w:val="0090544C"/>
    <w:rsid w:val="00935A10"/>
    <w:rsid w:val="009467A1"/>
    <w:rsid w:val="00954867"/>
    <w:rsid w:val="009700C3"/>
    <w:rsid w:val="00976447"/>
    <w:rsid w:val="00994383"/>
    <w:rsid w:val="00996E1D"/>
    <w:rsid w:val="009A4336"/>
    <w:rsid w:val="009D315A"/>
    <w:rsid w:val="00A25F29"/>
    <w:rsid w:val="00A46B9D"/>
    <w:rsid w:val="00A60403"/>
    <w:rsid w:val="00A60449"/>
    <w:rsid w:val="00A70906"/>
    <w:rsid w:val="00A81782"/>
    <w:rsid w:val="00A83BC5"/>
    <w:rsid w:val="00A8629B"/>
    <w:rsid w:val="00AA06AE"/>
    <w:rsid w:val="00AC2ACA"/>
    <w:rsid w:val="00AC31A4"/>
    <w:rsid w:val="00AF2E5C"/>
    <w:rsid w:val="00B27B12"/>
    <w:rsid w:val="00B3219E"/>
    <w:rsid w:val="00B40148"/>
    <w:rsid w:val="00B511A9"/>
    <w:rsid w:val="00C231AC"/>
    <w:rsid w:val="00C27B60"/>
    <w:rsid w:val="00C51062"/>
    <w:rsid w:val="00C62207"/>
    <w:rsid w:val="00C8050F"/>
    <w:rsid w:val="00CD08FF"/>
    <w:rsid w:val="00CD5FA8"/>
    <w:rsid w:val="00CE5827"/>
    <w:rsid w:val="00CF09FC"/>
    <w:rsid w:val="00D01E8F"/>
    <w:rsid w:val="00D24915"/>
    <w:rsid w:val="00D56752"/>
    <w:rsid w:val="00D93097"/>
    <w:rsid w:val="00DA6A3F"/>
    <w:rsid w:val="00DB403D"/>
    <w:rsid w:val="00DC68B2"/>
    <w:rsid w:val="00DD6A9B"/>
    <w:rsid w:val="00DE4DBE"/>
    <w:rsid w:val="00E12F94"/>
    <w:rsid w:val="00E17E31"/>
    <w:rsid w:val="00E220A4"/>
    <w:rsid w:val="00E46D93"/>
    <w:rsid w:val="00E62A33"/>
    <w:rsid w:val="00E67AEA"/>
    <w:rsid w:val="00E7005C"/>
    <w:rsid w:val="00E82621"/>
    <w:rsid w:val="00E8310F"/>
    <w:rsid w:val="00E84B93"/>
    <w:rsid w:val="00EA3183"/>
    <w:rsid w:val="00EA42B3"/>
    <w:rsid w:val="00ED6AAF"/>
    <w:rsid w:val="00F02A57"/>
    <w:rsid w:val="00F063FE"/>
    <w:rsid w:val="00F1435C"/>
    <w:rsid w:val="00F24258"/>
    <w:rsid w:val="00F36A8C"/>
    <w:rsid w:val="00F46C00"/>
    <w:rsid w:val="00F901A7"/>
    <w:rsid w:val="00F91BB1"/>
    <w:rsid w:val="00F92359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365F"/>
    <w:rsid w:val="000C7DE3"/>
    <w:rsid w:val="001518A5"/>
    <w:rsid w:val="001E57DA"/>
    <w:rsid w:val="0022327C"/>
    <w:rsid w:val="00224ECB"/>
    <w:rsid w:val="0022656D"/>
    <w:rsid w:val="0037538B"/>
    <w:rsid w:val="00435F78"/>
    <w:rsid w:val="00611F4C"/>
    <w:rsid w:val="00662075"/>
    <w:rsid w:val="006903CA"/>
    <w:rsid w:val="006C29D5"/>
    <w:rsid w:val="00757C33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1A281E-5785-48CF-B891-8516A51C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27</cp:revision>
  <dcterms:created xsi:type="dcterms:W3CDTF">2019-10-28T13:42:00Z</dcterms:created>
  <dcterms:modified xsi:type="dcterms:W3CDTF">2019-10-29T10:05:00Z</dcterms:modified>
</cp:coreProperties>
</file>